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A7649" w14:textId="77777777" w:rsidR="000C614A" w:rsidRDefault="00714F0A" w:rsidP="00714F0A">
      <w:pPr>
        <w:jc w:val="center"/>
        <w:rPr>
          <w:b/>
        </w:rPr>
      </w:pPr>
      <w:bookmarkStart w:id="0" w:name="_GoBack"/>
      <w:bookmarkEnd w:id="0"/>
      <w:r>
        <w:rPr>
          <w:b/>
        </w:rPr>
        <w:t>DOCKET NO. _______</w:t>
      </w:r>
    </w:p>
    <w:p w14:paraId="54087B40" w14:textId="77777777" w:rsidR="00714F0A" w:rsidRDefault="00714F0A" w:rsidP="00714F0A">
      <w:pPr>
        <w:jc w:val="cente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46"/>
        <w:gridCol w:w="4154"/>
      </w:tblGrid>
      <w:tr w:rsidR="00714F0A" w:rsidRPr="002577EA" w14:paraId="7711E3FD" w14:textId="77777777" w:rsidTr="00100D20">
        <w:tc>
          <w:tcPr>
            <w:tcW w:w="4878" w:type="dxa"/>
          </w:tcPr>
          <w:p w14:paraId="646D30F2" w14:textId="77777777" w:rsidR="00714F0A" w:rsidRPr="002577EA" w:rsidRDefault="00714F0A" w:rsidP="004E4D49">
            <w:pPr>
              <w:spacing w:line="240" w:lineRule="auto"/>
              <w:jc w:val="left"/>
              <w:rPr>
                <w:b/>
                <w:szCs w:val="24"/>
              </w:rPr>
            </w:pPr>
            <w:r w:rsidRPr="002577EA">
              <w:rPr>
                <w:b/>
                <w:szCs w:val="24"/>
              </w:rPr>
              <w:t xml:space="preserve">APPLICATION OF ENTERGY TEXAS, INC. TO REVISE FIXED FUEL FACTOR (SCHEDULE FF) IN COMPLIANCE WITH ORDER IN DOCKET NO. </w:t>
            </w:r>
            <w:r w:rsidR="004E4D49" w:rsidRPr="002577EA">
              <w:rPr>
                <w:b/>
                <w:szCs w:val="24"/>
              </w:rPr>
              <w:t>32915</w:t>
            </w:r>
          </w:p>
        </w:tc>
        <w:tc>
          <w:tcPr>
            <w:tcW w:w="450" w:type="dxa"/>
          </w:tcPr>
          <w:p w14:paraId="4BFBA6EE" w14:textId="77777777" w:rsidR="00714F0A" w:rsidRPr="002577EA" w:rsidRDefault="00714F0A" w:rsidP="007D1227">
            <w:pPr>
              <w:spacing w:line="240" w:lineRule="auto"/>
              <w:jc w:val="center"/>
              <w:rPr>
                <w:b/>
                <w:szCs w:val="24"/>
              </w:rPr>
            </w:pPr>
            <w:r w:rsidRPr="002577EA">
              <w:rPr>
                <w:b/>
                <w:szCs w:val="24"/>
              </w:rPr>
              <w:t>§</w:t>
            </w:r>
          </w:p>
          <w:p w14:paraId="103FCB56" w14:textId="77777777" w:rsidR="00714F0A" w:rsidRPr="002577EA" w:rsidRDefault="00714F0A" w:rsidP="007D1227">
            <w:pPr>
              <w:spacing w:line="240" w:lineRule="auto"/>
              <w:jc w:val="center"/>
              <w:rPr>
                <w:b/>
                <w:szCs w:val="24"/>
              </w:rPr>
            </w:pPr>
            <w:r w:rsidRPr="002577EA">
              <w:rPr>
                <w:b/>
                <w:szCs w:val="24"/>
              </w:rPr>
              <w:t>§</w:t>
            </w:r>
          </w:p>
          <w:p w14:paraId="7A6851AB" w14:textId="77777777" w:rsidR="00714F0A" w:rsidRPr="002577EA" w:rsidRDefault="00714F0A" w:rsidP="007D1227">
            <w:pPr>
              <w:spacing w:line="240" w:lineRule="auto"/>
              <w:jc w:val="center"/>
              <w:rPr>
                <w:b/>
                <w:szCs w:val="24"/>
              </w:rPr>
            </w:pPr>
            <w:r w:rsidRPr="002577EA">
              <w:rPr>
                <w:b/>
                <w:szCs w:val="24"/>
              </w:rPr>
              <w:t>§</w:t>
            </w:r>
          </w:p>
          <w:p w14:paraId="0F120C81" w14:textId="77777777" w:rsidR="00714F0A" w:rsidRPr="002577EA" w:rsidRDefault="00714F0A" w:rsidP="007D1227">
            <w:pPr>
              <w:spacing w:line="240" w:lineRule="auto"/>
              <w:jc w:val="center"/>
              <w:rPr>
                <w:b/>
                <w:szCs w:val="24"/>
              </w:rPr>
            </w:pPr>
            <w:r w:rsidRPr="002577EA">
              <w:rPr>
                <w:b/>
                <w:szCs w:val="24"/>
              </w:rPr>
              <w:t>§</w:t>
            </w:r>
          </w:p>
        </w:tc>
        <w:tc>
          <w:tcPr>
            <w:tcW w:w="4248" w:type="dxa"/>
          </w:tcPr>
          <w:p w14:paraId="42765C3F" w14:textId="77777777" w:rsidR="00100D20" w:rsidRDefault="00714F0A" w:rsidP="007D1227">
            <w:pPr>
              <w:spacing w:line="240" w:lineRule="auto"/>
              <w:jc w:val="center"/>
              <w:rPr>
                <w:b/>
                <w:szCs w:val="24"/>
              </w:rPr>
            </w:pPr>
            <w:r w:rsidRPr="002577EA">
              <w:rPr>
                <w:b/>
                <w:szCs w:val="24"/>
              </w:rPr>
              <w:t xml:space="preserve">BEFORE THE </w:t>
            </w:r>
          </w:p>
          <w:p w14:paraId="51BDBD3E" w14:textId="77777777" w:rsidR="00714F0A" w:rsidRPr="002577EA" w:rsidRDefault="00714F0A" w:rsidP="007D1227">
            <w:pPr>
              <w:spacing w:line="240" w:lineRule="auto"/>
              <w:jc w:val="center"/>
              <w:rPr>
                <w:b/>
                <w:szCs w:val="24"/>
              </w:rPr>
            </w:pPr>
            <w:r w:rsidRPr="002577EA">
              <w:rPr>
                <w:b/>
                <w:szCs w:val="24"/>
              </w:rPr>
              <w:t>PUBLIC UTILITY COMMISSION OF TEXAS</w:t>
            </w:r>
          </w:p>
        </w:tc>
      </w:tr>
    </w:tbl>
    <w:p w14:paraId="04645368" w14:textId="77777777" w:rsidR="00714F0A" w:rsidRDefault="00714F0A" w:rsidP="00714F0A">
      <w:pPr>
        <w:jc w:val="center"/>
        <w:rPr>
          <w:b/>
        </w:rPr>
      </w:pPr>
    </w:p>
    <w:p w14:paraId="17E05EE0" w14:textId="77777777" w:rsidR="00714F0A" w:rsidRPr="00100D20" w:rsidRDefault="00714F0A" w:rsidP="007D1227">
      <w:pPr>
        <w:spacing w:line="240" w:lineRule="auto"/>
        <w:jc w:val="center"/>
        <w:rPr>
          <w:b/>
        </w:rPr>
      </w:pPr>
      <w:r w:rsidRPr="00100D20">
        <w:rPr>
          <w:b/>
        </w:rPr>
        <w:t xml:space="preserve">APPLICATION OF ENTERGY TEXAS, INC. TO REVISE FIXED FUEL FACTOR (SCHEDULE FF) IN COMPLIANCE WITH ORDER IN DOCKET NO. </w:t>
      </w:r>
      <w:r w:rsidR="003D1023" w:rsidRPr="00100D20">
        <w:rPr>
          <w:b/>
        </w:rPr>
        <w:t>32915,</w:t>
      </w:r>
      <w:r w:rsidRPr="00100D20">
        <w:rPr>
          <w:b/>
        </w:rPr>
        <w:t xml:space="preserve"> MOTION FOR EXPEDITED REFERRAL TO SOAH, AND EXPEDITED AP</w:t>
      </w:r>
      <w:r w:rsidR="00F44E65" w:rsidRPr="00100D20">
        <w:rPr>
          <w:b/>
        </w:rPr>
        <w:t>P</w:t>
      </w:r>
      <w:r w:rsidRPr="00100D20">
        <w:rPr>
          <w:b/>
        </w:rPr>
        <w:t>ROVAL OF REVISED INTERIM FIXED FUEL FACTOR ON AN INTERIM BASIS</w:t>
      </w:r>
    </w:p>
    <w:p w14:paraId="15A483A8" w14:textId="77777777" w:rsidR="00714F0A" w:rsidRDefault="00714F0A" w:rsidP="00714F0A">
      <w:pPr>
        <w:jc w:val="center"/>
        <w:rPr>
          <w:b/>
          <w:u w:val="single"/>
        </w:rPr>
      </w:pPr>
    </w:p>
    <w:p w14:paraId="635B740F" w14:textId="77777777" w:rsidR="00714F0A" w:rsidRPr="00690314" w:rsidRDefault="00714F0A" w:rsidP="000C4CD0">
      <w:pPr>
        <w:pStyle w:val="BodyTextFirstIndent"/>
      </w:pPr>
      <w:r>
        <w:t xml:space="preserve">In accordance with the Order of the Public Utility Commission of Texas (“PUCT” or “Commission”) in Docket No. </w:t>
      </w:r>
      <w:r w:rsidR="004E4D49">
        <w:t>32915</w:t>
      </w:r>
      <w:r>
        <w:t>,</w:t>
      </w:r>
      <w:r w:rsidR="00E155B1" w:rsidRPr="0030646C">
        <w:rPr>
          <w:rStyle w:val="FootnoteReference"/>
        </w:rPr>
        <w:footnoteReference w:id="2"/>
      </w:r>
      <w:r w:rsidR="0099441C">
        <w:t xml:space="preserve"> Entergy </w:t>
      </w:r>
      <w:r w:rsidR="0030646C">
        <w:t xml:space="preserve">Texas, Inc. (“ETI” or “Company”) files this Application to Revise its Fixed Fuel Factor, Motion for Expedited Referral to the </w:t>
      </w:r>
      <w:r w:rsidR="0030646C" w:rsidRPr="00690314">
        <w:t>State Office of Administrative Hearings (“SOA</w:t>
      </w:r>
      <w:r w:rsidR="00D74449" w:rsidRPr="00690314">
        <w:t>H</w:t>
      </w:r>
      <w:r w:rsidR="0030646C" w:rsidRPr="00690314">
        <w:t>”)</w:t>
      </w:r>
      <w:r w:rsidR="00C937CF">
        <w:t>,</w:t>
      </w:r>
      <w:r w:rsidR="0030646C" w:rsidRPr="00690314">
        <w:rPr>
          <w:rStyle w:val="FootnoteReference"/>
        </w:rPr>
        <w:footnoteReference w:id="3"/>
      </w:r>
      <w:r w:rsidR="00AA55B6">
        <w:t xml:space="preserve"> a</w:t>
      </w:r>
      <w:r w:rsidR="0030646C" w:rsidRPr="00690314">
        <w:t>nd Expedited Approval of the Revised Interim Fixed Fuel Factor on an Interim Basis.</w:t>
      </w:r>
    </w:p>
    <w:p w14:paraId="46804DD9" w14:textId="6575BA5B" w:rsidR="0030646C" w:rsidRPr="00690314" w:rsidRDefault="0030646C" w:rsidP="000C4CD0">
      <w:pPr>
        <w:pStyle w:val="BodyTextFirstIndent"/>
      </w:pPr>
      <w:r w:rsidRPr="00690314">
        <w:t xml:space="preserve">For the reasons explained below, ETI requests approval of its Application and Motion such that the Interim Approval of ETI’s request may be obtained on or </w:t>
      </w:r>
      <w:r w:rsidRPr="007C33F1">
        <w:t xml:space="preserve">before </w:t>
      </w:r>
      <w:r w:rsidR="00753A6D">
        <w:t>February 2</w:t>
      </w:r>
      <w:r w:rsidR="00DF68CE">
        <w:t>7</w:t>
      </w:r>
      <w:r w:rsidR="002B7926">
        <w:t>,</w:t>
      </w:r>
      <w:r w:rsidR="00F908FA" w:rsidRPr="007C33F1">
        <w:t xml:space="preserve"> 20</w:t>
      </w:r>
      <w:r w:rsidR="00753A6D">
        <w:t>20</w:t>
      </w:r>
      <w:r w:rsidRPr="007C33F1">
        <w:t xml:space="preserve">, thereby allowing ETI’s revisions to its Fixed Fuel Factor to be effective for the first billing cycle of the </w:t>
      </w:r>
      <w:r w:rsidR="00753A6D">
        <w:t>March 2020</w:t>
      </w:r>
      <w:r w:rsidRPr="007C33F1">
        <w:t xml:space="preserve"> billing month</w:t>
      </w:r>
      <w:r w:rsidR="00AA55B6">
        <w:t>,</w:t>
      </w:r>
      <w:r w:rsidRPr="007C33F1">
        <w:t xml:space="preserve"> which begins</w:t>
      </w:r>
      <w:r w:rsidR="00EB1784">
        <w:t xml:space="preserve"> </w:t>
      </w:r>
      <w:r w:rsidR="00233649">
        <w:t>March 3</w:t>
      </w:r>
      <w:r w:rsidR="00C427B1" w:rsidRPr="00B460E1">
        <w:t xml:space="preserve">, </w:t>
      </w:r>
      <w:r w:rsidR="00FD7CF5" w:rsidRPr="00B460E1">
        <w:t>20</w:t>
      </w:r>
      <w:r w:rsidR="00753A6D">
        <w:t>20</w:t>
      </w:r>
      <w:r w:rsidRPr="007C33F1">
        <w:t>.</w:t>
      </w:r>
      <w:r w:rsidRPr="007C33F1">
        <w:rPr>
          <w:rStyle w:val="FootnoteReference"/>
        </w:rPr>
        <w:footnoteReference w:id="4"/>
      </w:r>
    </w:p>
    <w:p w14:paraId="433754F9" w14:textId="7E5F1BA0" w:rsidR="0030646C" w:rsidRPr="00690314" w:rsidRDefault="00753A6D" w:rsidP="00BB1440">
      <w:pPr>
        <w:pStyle w:val="Heading1"/>
      </w:pPr>
      <w:r>
        <w:t>MARCH 2020</w:t>
      </w:r>
      <w:r w:rsidR="00D50612" w:rsidRPr="00690314">
        <w:t xml:space="preserve"> </w:t>
      </w:r>
      <w:r w:rsidR="0030646C" w:rsidRPr="00690314">
        <w:t>REVISED FIXED FUEL FACTOR</w:t>
      </w:r>
    </w:p>
    <w:p w14:paraId="3CC3B7D0" w14:textId="77777777" w:rsidR="00576F69" w:rsidRPr="00690314" w:rsidRDefault="00BE543A" w:rsidP="000C4CD0">
      <w:pPr>
        <w:pStyle w:val="BodyTextFirstIndent"/>
      </w:pPr>
      <w:r w:rsidRPr="00690314">
        <w:t xml:space="preserve">ETI hereby submits its Revised Fixed Fuel Factor (“Schedule FF”) and supporting attachments (listed below) in compliance with the process ordered in Docket No. </w:t>
      </w:r>
      <w:r w:rsidR="007037CE" w:rsidRPr="00690314">
        <w:t>32915</w:t>
      </w:r>
      <w:r w:rsidRPr="00690314">
        <w:t xml:space="preserve">, </w:t>
      </w:r>
      <w:r w:rsidRPr="00690314">
        <w:rPr>
          <w:i/>
        </w:rPr>
        <w:t>Application of Entergy Gulf</w:t>
      </w:r>
      <w:r w:rsidR="002971CD" w:rsidRPr="00690314">
        <w:rPr>
          <w:i/>
        </w:rPr>
        <w:t xml:space="preserve"> States, Inc. to Revise Fuel Factor Formula.  </w:t>
      </w:r>
      <w:r w:rsidR="006744FF">
        <w:t xml:space="preserve">In accordance with the </w:t>
      </w:r>
      <w:r w:rsidR="006744FF">
        <w:lastRenderedPageBreak/>
        <w:t>Commission’s Order in Docket No. 32915, t</w:t>
      </w:r>
      <w:r w:rsidR="002971CD" w:rsidRPr="00690314">
        <w:t xml:space="preserve">he Company has distributed the Revised Fixed Fuel Factor and </w:t>
      </w:r>
      <w:r w:rsidR="00100D20">
        <w:t>s</w:t>
      </w:r>
      <w:r w:rsidR="002971CD" w:rsidRPr="00690314">
        <w:t xml:space="preserve">upporting data to the parties in Docket No. </w:t>
      </w:r>
      <w:r w:rsidR="007037CE" w:rsidRPr="006744FF">
        <w:t>32</w:t>
      </w:r>
      <w:r w:rsidR="00B31F1F" w:rsidRPr="006744FF">
        <w:t>465</w:t>
      </w:r>
      <w:r w:rsidR="006744FF">
        <w:t xml:space="preserve"> at least two days before making this filing </w:t>
      </w:r>
      <w:r w:rsidR="002971CD" w:rsidRPr="00690314">
        <w:t>and has received no objections to its Revised Fixed Fuel Factor.</w:t>
      </w:r>
      <w:r w:rsidR="00410EC4" w:rsidRPr="00690314">
        <w:t xml:space="preserve">  </w:t>
      </w:r>
    </w:p>
    <w:p w14:paraId="3B6F7ADC" w14:textId="29158DB9" w:rsidR="00BE543A" w:rsidRPr="00690314" w:rsidRDefault="0059708E" w:rsidP="000C4CD0">
      <w:pPr>
        <w:pStyle w:val="BodyTextFirstIndent"/>
      </w:pPr>
      <w:r w:rsidRPr="00DF68CE">
        <w:t xml:space="preserve">ETI </w:t>
      </w:r>
      <w:r w:rsidR="00D31C4F" w:rsidRPr="00DF68CE">
        <w:t xml:space="preserve">developed line loss multipliers for the annual period ending </w:t>
      </w:r>
      <w:r w:rsidR="00D768F0">
        <w:t>June</w:t>
      </w:r>
      <w:r w:rsidR="00D768F0" w:rsidRPr="00DF68CE">
        <w:t xml:space="preserve"> </w:t>
      </w:r>
      <w:r w:rsidR="00D31C4F" w:rsidRPr="00DF68CE">
        <w:t>3</w:t>
      </w:r>
      <w:r w:rsidR="00D768F0">
        <w:t>0</w:t>
      </w:r>
      <w:r w:rsidR="00D31C4F" w:rsidRPr="00DF68CE">
        <w:t>, 201</w:t>
      </w:r>
      <w:r w:rsidR="00D768F0">
        <w:t>9</w:t>
      </w:r>
      <w:r w:rsidR="00D31C4F" w:rsidRPr="00DF68CE">
        <w:t xml:space="preserve"> for use in this interim fuel factor </w:t>
      </w:r>
      <w:r w:rsidR="00576F69" w:rsidRPr="00DF68CE">
        <w:t>revision</w:t>
      </w:r>
      <w:r w:rsidRPr="00DF68CE">
        <w:t xml:space="preserve"> pursuant to the Order in Docket No. 40654</w:t>
      </w:r>
      <w:r w:rsidR="00576F69" w:rsidRPr="00DF68CE">
        <w:t>.</w:t>
      </w:r>
      <w:r w:rsidRPr="00DF68CE">
        <w:rPr>
          <w:rStyle w:val="FootnoteReference"/>
        </w:rPr>
        <w:footnoteReference w:id="5"/>
      </w:r>
      <w:r w:rsidR="00576F69" w:rsidRPr="00690314">
        <w:t xml:space="preserve">  </w:t>
      </w:r>
    </w:p>
    <w:p w14:paraId="3EC90AA9" w14:textId="26994800" w:rsidR="002971CD" w:rsidRDefault="002971CD" w:rsidP="000C4CD0">
      <w:pPr>
        <w:pStyle w:val="BodyTextFirstIndent"/>
      </w:pPr>
      <w:r w:rsidRPr="00690314">
        <w:t xml:space="preserve">Consistent with the Order in Docket No. </w:t>
      </w:r>
      <w:r w:rsidR="004E4D49" w:rsidRPr="00690314">
        <w:t>32915</w:t>
      </w:r>
      <w:r w:rsidRPr="00690314">
        <w:t xml:space="preserve">, </w:t>
      </w:r>
      <w:r w:rsidR="00271FBF" w:rsidRPr="00690314">
        <w:t>Schedule</w:t>
      </w:r>
      <w:r w:rsidRPr="00690314">
        <w:t xml:space="preserve"> FF shall be effective with the first billing cycle of the </w:t>
      </w:r>
      <w:r w:rsidR="00447CD8">
        <w:t>March 2020</w:t>
      </w:r>
      <w:r w:rsidRPr="00690314">
        <w:t xml:space="preserve"> billing month.  The Company will provide notice of this filing pursuant</w:t>
      </w:r>
      <w:r>
        <w:t xml:space="preserve"> to </w:t>
      </w:r>
      <w:r w:rsidR="00D748FF">
        <w:t>16 Tex</w:t>
      </w:r>
      <w:r w:rsidR="00432113">
        <w:t>.</w:t>
      </w:r>
      <w:r w:rsidR="00D748FF">
        <w:t xml:space="preserve"> Admin. Code §</w:t>
      </w:r>
      <w:r w:rsidR="00432113">
        <w:t xml:space="preserve"> </w:t>
      </w:r>
      <w:r w:rsidR="00D748FF">
        <w:t xml:space="preserve">25.235(b). </w:t>
      </w:r>
      <w:r>
        <w:t xml:space="preserve"> Proof of such notice will be filed with the Commission upon completion.  Pursuant to Commission past practice</w:t>
      </w:r>
      <w:r w:rsidR="0059708E">
        <w:t xml:space="preserve"> and the Order in Docket No.</w:t>
      </w:r>
      <w:r w:rsidR="00D9542D">
        <w:t> </w:t>
      </w:r>
      <w:r w:rsidR="0059708E">
        <w:t>32915</w:t>
      </w:r>
      <w:r>
        <w:t>, interest</w:t>
      </w:r>
      <w:r w:rsidR="007055F4">
        <w:t>ed</w:t>
      </w:r>
      <w:r>
        <w:t xml:space="preserve"> parties will have 30 days from publication of notice </w:t>
      </w:r>
      <w:r w:rsidR="00271FBF">
        <w:t>to</w:t>
      </w:r>
      <w:r>
        <w:t xml:space="preserve"> intervene and request a hearing following publication of notice.  Accordingly, the Company’s request for expedited interim approval, set forth below, will not affect the parties’ rights to intervene and request a hearing on the Company’s Application within the 30-day time frame following publication of notice contemplated under the Commission’s Order in Docket No. </w:t>
      </w:r>
      <w:r w:rsidR="002E7C21">
        <w:t>32915.</w:t>
      </w:r>
    </w:p>
    <w:p w14:paraId="41AACCD6" w14:textId="77777777" w:rsidR="002971CD" w:rsidRDefault="002971CD" w:rsidP="00D9542D">
      <w:pPr>
        <w:pStyle w:val="BodyTextFirstIndent"/>
      </w:pPr>
      <w:r>
        <w:t>The following attachments support the Company’s revised Schedule FF:</w:t>
      </w:r>
    </w:p>
    <w:p w14:paraId="5081069B" w14:textId="77777777" w:rsidR="002971CD" w:rsidRDefault="002971CD" w:rsidP="0004197B">
      <w:pPr>
        <w:ind w:left="3600" w:hanging="2160"/>
      </w:pPr>
      <w:r>
        <w:t>Attachment “A”</w:t>
      </w:r>
      <w:r>
        <w:tab/>
        <w:t>Fuel Factor Calculation</w:t>
      </w:r>
    </w:p>
    <w:p w14:paraId="00E7527C" w14:textId="77777777" w:rsidR="002971CD" w:rsidRDefault="002971CD" w:rsidP="0004197B">
      <w:pPr>
        <w:ind w:left="3600" w:hanging="2160"/>
      </w:pPr>
      <w:r>
        <w:t>Attachment “B”</w:t>
      </w:r>
      <w:r>
        <w:tab/>
        <w:t>Average Forward and Historical Gas Price Calculation</w:t>
      </w:r>
    </w:p>
    <w:p w14:paraId="45542149" w14:textId="77777777" w:rsidR="002971CD" w:rsidRDefault="002971CD" w:rsidP="0004197B">
      <w:pPr>
        <w:ind w:left="3600" w:hanging="2160"/>
      </w:pPr>
      <w:r>
        <w:t>Attachment “C”</w:t>
      </w:r>
      <w:r>
        <w:tab/>
        <w:t xml:space="preserve">Copies of the Wall Street Journal supporting the Average Forward Gas Price </w:t>
      </w:r>
      <w:r w:rsidR="0004197B">
        <w:t>Calculation</w:t>
      </w:r>
    </w:p>
    <w:p w14:paraId="478DB6E0" w14:textId="77777777" w:rsidR="0004197B" w:rsidRDefault="00E15CE6" w:rsidP="0004197B">
      <w:pPr>
        <w:ind w:left="3600" w:hanging="2160"/>
      </w:pPr>
      <w:r>
        <w:t>Attachment “D”</w:t>
      </w:r>
      <w:r>
        <w:tab/>
        <w:t>Copy of Natural Gas Week Table supporting the Average Historical Gas Price Calculation</w:t>
      </w:r>
    </w:p>
    <w:p w14:paraId="22AD8E03" w14:textId="77777777" w:rsidR="00E15CE6" w:rsidRDefault="00E15CE6" w:rsidP="0004197B">
      <w:pPr>
        <w:ind w:left="3600" w:hanging="2160"/>
      </w:pPr>
      <w:r>
        <w:t>Attachment “E”</w:t>
      </w:r>
      <w:r>
        <w:tab/>
        <w:t>Proposed Tariff</w:t>
      </w:r>
    </w:p>
    <w:p w14:paraId="772DCC5F" w14:textId="77777777" w:rsidR="00E15CE6" w:rsidRDefault="00E15CE6" w:rsidP="0004197B">
      <w:pPr>
        <w:ind w:left="3600" w:hanging="2160"/>
      </w:pPr>
      <w:r>
        <w:t>Attachment “F”</w:t>
      </w:r>
      <w:r>
        <w:tab/>
        <w:t>Proposed Form of Notice</w:t>
      </w:r>
    </w:p>
    <w:p w14:paraId="33065D10" w14:textId="77777777" w:rsidR="00E15CE6" w:rsidRDefault="00E15CE6" w:rsidP="00BB1440">
      <w:pPr>
        <w:pStyle w:val="Heading1"/>
      </w:pPr>
      <w:r>
        <w:t>EXPEDITED REFERRAL TO SOAH AND EXPEDITED APPROVAL OF REVISED FIXED FUEL FACTOR ON AN INTERIM BASIS</w:t>
      </w:r>
    </w:p>
    <w:p w14:paraId="162CEEBB" w14:textId="367A8B62" w:rsidR="00E15CE6" w:rsidRDefault="00E15CE6" w:rsidP="00D9542D">
      <w:pPr>
        <w:pStyle w:val="BodyTextFirstIndent"/>
      </w:pPr>
      <w:r>
        <w:t>Based upon the shor</w:t>
      </w:r>
      <w:r w:rsidR="00486E8E">
        <w:t>t</w:t>
      </w:r>
      <w:r>
        <w:t xml:space="preserve"> </w:t>
      </w:r>
      <w:r w:rsidRPr="00BF47C2">
        <w:t>perio</w:t>
      </w:r>
      <w:r w:rsidR="00486E8E" w:rsidRPr="00BF47C2">
        <w:t>d</w:t>
      </w:r>
      <w:r w:rsidRPr="00BF47C2">
        <w:t xml:space="preserve"> of time to obtain an order implementing the In</w:t>
      </w:r>
      <w:r w:rsidR="006A0BCC" w:rsidRPr="00BF47C2">
        <w:t>terim Revised Fixed Fuel Factor</w:t>
      </w:r>
      <w:r w:rsidR="00C937CF">
        <w:t xml:space="preserve"> as laid out in more detail below</w:t>
      </w:r>
      <w:r w:rsidRPr="00BF47C2">
        <w:t>, the</w:t>
      </w:r>
      <w:r>
        <w:t xml:space="preserve"> Company respectfully requests that the Commission refer this proceeding to SOAH on an expedited basis.  The Company further requests that the SOAH Administrative Law Judge </w:t>
      </w:r>
      <w:r w:rsidR="00486E8E">
        <w:t xml:space="preserve">(“ALJ”) </w:t>
      </w:r>
      <w:r>
        <w:t xml:space="preserve">adopt the abbreviated procedural mechanism </w:t>
      </w:r>
      <w:r>
        <w:lastRenderedPageBreak/>
        <w:t xml:space="preserve">approved by the Commission in Docket No. </w:t>
      </w:r>
      <w:r w:rsidR="00D74449">
        <w:t>32915</w:t>
      </w:r>
      <w:r>
        <w:t xml:space="preserve"> and issue an order </w:t>
      </w:r>
      <w:r w:rsidRPr="00BF47C2">
        <w:t xml:space="preserve">approving the Company’s revision to its </w:t>
      </w:r>
      <w:r w:rsidR="00271FBF" w:rsidRPr="00BF47C2">
        <w:t>fixed</w:t>
      </w:r>
      <w:r w:rsidRPr="00BF47C2">
        <w:t xml:space="preserve"> fuel factor on an interim basis no later than </w:t>
      </w:r>
      <w:r w:rsidR="0066068E">
        <w:t>February 27</w:t>
      </w:r>
      <w:r w:rsidR="002B7926">
        <w:t>,</w:t>
      </w:r>
      <w:r w:rsidR="00FD7CF5">
        <w:t xml:space="preserve"> 20</w:t>
      </w:r>
      <w:r w:rsidR="0066068E">
        <w:t>20</w:t>
      </w:r>
      <w:r>
        <w:t xml:space="preserve">, to become effective with the first billing cycle of the billing month </w:t>
      </w:r>
      <w:r w:rsidR="00D748FF">
        <w:t xml:space="preserve">of </w:t>
      </w:r>
      <w:r w:rsidR="0066068E">
        <w:t>March</w:t>
      </w:r>
      <w:r w:rsidR="003A3DDE">
        <w:t xml:space="preserve"> 20</w:t>
      </w:r>
      <w:r w:rsidR="0066068E">
        <w:t>20</w:t>
      </w:r>
      <w:r w:rsidR="00D748FF">
        <w:t>,</w:t>
      </w:r>
      <w:r>
        <w:t xml:space="preserve"> which begins </w:t>
      </w:r>
      <w:r w:rsidR="0066068E">
        <w:t>March 3</w:t>
      </w:r>
      <w:r w:rsidR="002B7926">
        <w:t>,</w:t>
      </w:r>
      <w:r w:rsidR="00FD7CF5">
        <w:t xml:space="preserve"> 20</w:t>
      </w:r>
      <w:r w:rsidR="0066068E">
        <w:t>20</w:t>
      </w:r>
      <w:r>
        <w:t>.  The Company further requests, in accordance with the process approved in Docket No.</w:t>
      </w:r>
      <w:r w:rsidR="00F44E65">
        <w:t> </w:t>
      </w:r>
      <w:r w:rsidR="00D74449">
        <w:t>32915</w:t>
      </w:r>
      <w:r>
        <w:t>, that the requested interim order specify that it will become a final order without any further required action by the ALJ or the Commission absent the granting of a request for a hearing by a party to this proceeding.</w:t>
      </w:r>
    </w:p>
    <w:p w14:paraId="54CF2D16" w14:textId="77777777" w:rsidR="00E15CE6" w:rsidRPr="00E15CE6" w:rsidRDefault="00E15CE6" w:rsidP="00D9542D">
      <w:pPr>
        <w:pStyle w:val="BodyTextFirstIndent"/>
      </w:pPr>
      <w:r>
        <w:t xml:space="preserve">In Docket No. </w:t>
      </w:r>
      <w:r w:rsidR="00D74449">
        <w:t>32915</w:t>
      </w:r>
      <w:r>
        <w:t xml:space="preserve">, the Commission found both this abbreviated procedural process for implementation and the continuation of this process in subsequent </w:t>
      </w:r>
      <w:r w:rsidR="00271FBF">
        <w:t>semi</w:t>
      </w:r>
      <w:r>
        <w:t>-annual fixed fuel factor revisions to be reasonable.</w:t>
      </w:r>
      <w:r>
        <w:rPr>
          <w:rStyle w:val="FootnoteReference"/>
        </w:rPr>
        <w:footnoteReference w:id="6"/>
      </w:r>
      <w:r w:rsidR="008E4222">
        <w:t xml:space="preserve">  The Commission further found that this expedited process will continue to provide benefits in terms of administrative efficiency.</w:t>
      </w:r>
      <w:r w:rsidR="008E4222">
        <w:rPr>
          <w:rStyle w:val="FootnoteReference"/>
        </w:rPr>
        <w:footnoteReference w:id="7"/>
      </w:r>
    </w:p>
    <w:p w14:paraId="2B0184D4" w14:textId="74DC1CF8" w:rsidR="0030646C" w:rsidRDefault="001462D8" w:rsidP="00D9542D">
      <w:pPr>
        <w:pStyle w:val="BodyTextFirstIndent"/>
      </w:pPr>
      <w:r>
        <w:t xml:space="preserve">The Company’s requested process to implement its revised Fixed Fuel Factor is consistent with that adopted in </w:t>
      </w:r>
      <w:r w:rsidR="007055F4">
        <w:t xml:space="preserve">each of </w:t>
      </w:r>
      <w:r>
        <w:t>the Company’s interim fuel factor revisions</w:t>
      </w:r>
      <w:r w:rsidR="007055F4">
        <w:t xml:space="preserve"> from Docket</w:t>
      </w:r>
      <w:r w:rsidR="002577EA">
        <w:t> </w:t>
      </w:r>
      <w:r w:rsidR="007055F4">
        <w:t>No. 36710</w:t>
      </w:r>
      <w:r>
        <w:t xml:space="preserve"> </w:t>
      </w:r>
      <w:r w:rsidR="007055F4">
        <w:t>through the Company’s most recent interim fuel factor revision in Docket No.</w:t>
      </w:r>
      <w:r w:rsidR="002577EA">
        <w:t> </w:t>
      </w:r>
      <w:r w:rsidR="000B57BE">
        <w:t>4</w:t>
      </w:r>
      <w:r w:rsidR="004430A9">
        <w:t>9243</w:t>
      </w:r>
      <w:r w:rsidR="002E7C21">
        <w:t>.</w:t>
      </w:r>
      <w:r>
        <w:t xml:space="preserve">  Prior to Docket No. 36710, the Commission had not referred the Company’s interim fuel factor revisions to SOAH.  Anticipating that the Commission will continue its practice of referring all fuel applications to SOAH, the Company requests that its application be processed consistent with the methodology used in </w:t>
      </w:r>
      <w:r w:rsidR="002E7C21">
        <w:t>ETI’s prior fuel factor revision dockets,</w:t>
      </w:r>
      <w:r>
        <w:t xml:space="preserve"> which mirrors the process adopted in Docket No. </w:t>
      </w:r>
      <w:r w:rsidR="00D74449">
        <w:t>32915</w:t>
      </w:r>
      <w:r>
        <w:t>, as set forth in Finding of Fact 15 of the Commission’s Order:</w:t>
      </w:r>
    </w:p>
    <w:p w14:paraId="3B504D75" w14:textId="77777777" w:rsidR="0092653A" w:rsidRDefault="0092653A" w:rsidP="00D9542D">
      <w:pPr>
        <w:pStyle w:val="BodyTextFirstIndent"/>
      </w:pPr>
    </w:p>
    <w:p w14:paraId="745178B4" w14:textId="77777777" w:rsidR="001462D8" w:rsidRDefault="001462D8" w:rsidP="001462D8">
      <w:pPr>
        <w:tabs>
          <w:tab w:val="left" w:pos="720"/>
        </w:tabs>
        <w:ind w:left="1440" w:hanging="1440"/>
      </w:pPr>
      <w:r>
        <w:tab/>
        <w:t>15.</w:t>
      </w:r>
      <w:r>
        <w:tab/>
        <w:t>EGSI states that it will follow the same procedural process under the new formula that is in place for EGSI’s current fuel factor revision each March and September:</w:t>
      </w:r>
    </w:p>
    <w:p w14:paraId="74907A5D" w14:textId="77777777" w:rsidR="001462D8" w:rsidRDefault="001462D8" w:rsidP="00DE2544">
      <w:pPr>
        <w:spacing w:line="240" w:lineRule="auto"/>
        <w:ind w:left="2160" w:hanging="720"/>
      </w:pPr>
      <w:r>
        <w:t>(a)</w:t>
      </w:r>
      <w:r>
        <w:tab/>
        <w:t>EGSI will make a semi-annual filing during the window constituting the 11</w:t>
      </w:r>
      <w:r w:rsidRPr="001462D8">
        <w:rPr>
          <w:vertAlign w:val="superscript"/>
        </w:rPr>
        <w:t>th</w:t>
      </w:r>
      <w:r>
        <w:t xml:space="preserve"> through the 15</w:t>
      </w:r>
      <w:r w:rsidRPr="001462D8">
        <w:rPr>
          <w:vertAlign w:val="superscript"/>
        </w:rPr>
        <w:t>th</w:t>
      </w:r>
      <w:r>
        <w:t xml:space="preserve"> working days of each February and August.  The Company will provide notice to parties to Docket No. </w:t>
      </w:r>
      <w:r w:rsidR="007D010C">
        <w:t>32465</w:t>
      </w:r>
      <w:r>
        <w:t xml:space="preserve"> by hand-delivery or facsimile at least two (2) working days prior to making such filing.  This filing will include all the necessary back-up data to allow the Commission and parties to verify the calculation of the rate;</w:t>
      </w:r>
    </w:p>
    <w:p w14:paraId="65B32E0E" w14:textId="77777777" w:rsidR="00DE2544" w:rsidRDefault="00DE2544" w:rsidP="00DE2544">
      <w:pPr>
        <w:spacing w:line="240" w:lineRule="auto"/>
        <w:ind w:left="2160" w:hanging="720"/>
      </w:pPr>
    </w:p>
    <w:p w14:paraId="25FABB0F" w14:textId="77777777" w:rsidR="001462D8" w:rsidRDefault="001462D8" w:rsidP="00DE2544">
      <w:pPr>
        <w:spacing w:line="240" w:lineRule="auto"/>
        <w:ind w:left="2160" w:hanging="720"/>
      </w:pPr>
      <w:r>
        <w:lastRenderedPageBreak/>
        <w:t>(b)</w:t>
      </w:r>
      <w:r>
        <w:tab/>
        <w:t xml:space="preserve">interested parties will have 30 days to intervene and request a hearing following </w:t>
      </w:r>
      <w:r w:rsidR="00271FBF">
        <w:t>publication of</w:t>
      </w:r>
      <w:r>
        <w:t xml:space="preserve"> notice per P.U.C. </w:t>
      </w:r>
      <w:r w:rsidRPr="00DE2544">
        <w:rPr>
          <w:smallCaps/>
        </w:rPr>
        <w:t>Subst</w:t>
      </w:r>
      <w:r>
        <w:t>. R. 25.235(b)(1)(A);</w:t>
      </w:r>
    </w:p>
    <w:p w14:paraId="1EE6FE7A" w14:textId="77777777" w:rsidR="00DE2544" w:rsidRDefault="00DE2544" w:rsidP="00DE2544">
      <w:pPr>
        <w:spacing w:line="240" w:lineRule="auto"/>
        <w:ind w:left="2160" w:hanging="720"/>
      </w:pPr>
    </w:p>
    <w:p w14:paraId="1EBD4180" w14:textId="77777777" w:rsidR="001462D8" w:rsidRDefault="001462D8" w:rsidP="00DE2544">
      <w:pPr>
        <w:spacing w:line="240" w:lineRule="auto"/>
        <w:ind w:left="2160" w:hanging="720"/>
      </w:pPr>
      <w:r>
        <w:t>(c)</w:t>
      </w:r>
      <w:r>
        <w:tab/>
        <w:t>revisions to the fuel factor in accordance with the Company’s submission will be implemented on an interim basis effective with the first billing cycle of the billing month of March or September.  EGSI will request that the Commission or its designee enter such an interim order no later than the 25</w:t>
      </w:r>
      <w:r w:rsidRPr="001462D8">
        <w:rPr>
          <w:vertAlign w:val="superscript"/>
        </w:rPr>
        <w:t>th</w:t>
      </w:r>
      <w:r>
        <w:t xml:space="preserve"> day of the month of the semi-annual filing;</w:t>
      </w:r>
    </w:p>
    <w:p w14:paraId="5D86814C" w14:textId="77777777" w:rsidR="00DE2544" w:rsidRDefault="00DE2544" w:rsidP="00DE2544">
      <w:pPr>
        <w:spacing w:line="240" w:lineRule="auto"/>
        <w:ind w:left="2160" w:hanging="720"/>
      </w:pPr>
    </w:p>
    <w:p w14:paraId="0C1B2A7D" w14:textId="77777777" w:rsidR="001462D8" w:rsidRDefault="001462D8" w:rsidP="00DE2544">
      <w:pPr>
        <w:spacing w:line="240" w:lineRule="auto"/>
        <w:ind w:left="2160" w:hanging="720"/>
      </w:pPr>
      <w:r>
        <w:t>(d)</w:t>
      </w:r>
      <w:r>
        <w:tab/>
        <w:t>in the absence of a hearing, the interim order implementing the fuel factor revisions will become final by its own terms without further order of the Commission or its designee; and</w:t>
      </w:r>
    </w:p>
    <w:p w14:paraId="0939A3C7" w14:textId="77777777" w:rsidR="007055F4" w:rsidRDefault="007055F4" w:rsidP="00DE2544">
      <w:pPr>
        <w:spacing w:line="240" w:lineRule="auto"/>
        <w:ind w:left="2160" w:hanging="720"/>
      </w:pPr>
    </w:p>
    <w:p w14:paraId="034CBCC6" w14:textId="77777777" w:rsidR="001462D8" w:rsidRDefault="001462D8" w:rsidP="00964997">
      <w:pPr>
        <w:spacing w:line="240" w:lineRule="auto"/>
        <w:ind w:left="2160" w:hanging="720"/>
      </w:pPr>
      <w:r>
        <w:t>(e)</w:t>
      </w:r>
      <w:r>
        <w:tab/>
        <w:t xml:space="preserve">the fixed fuel factors implemented pursuant to this </w:t>
      </w:r>
      <w:r w:rsidR="00486E8E">
        <w:t>methodology will be adjusted for voltage levels at which service is provided utilizing the loss multipliers most recently approved by the Commission.</w:t>
      </w:r>
      <w:r w:rsidR="00486E8E">
        <w:rPr>
          <w:rStyle w:val="FootnoteReference"/>
        </w:rPr>
        <w:footnoteReference w:id="8"/>
      </w:r>
    </w:p>
    <w:p w14:paraId="31F2A33D" w14:textId="77777777" w:rsidR="006A0BCC" w:rsidRDefault="006A0BCC" w:rsidP="001462D8">
      <w:pPr>
        <w:ind w:left="2160" w:hanging="720"/>
      </w:pPr>
    </w:p>
    <w:p w14:paraId="446D348D" w14:textId="77777777" w:rsidR="00486E8E" w:rsidRDefault="00486E8E" w:rsidP="00D9542D">
      <w:pPr>
        <w:pStyle w:val="BodyTextFirstIndent"/>
      </w:pPr>
      <w:r>
        <w:t>The processing of the Company’s Fixed Fuel Factor as outline</w:t>
      </w:r>
      <w:r w:rsidR="00D74449">
        <w:t>d</w:t>
      </w:r>
      <w:r>
        <w:t xml:space="preserve"> above, including the interim approval and processing of the </w:t>
      </w:r>
      <w:r w:rsidR="00201D12">
        <w:t>request</w:t>
      </w:r>
      <w:r>
        <w:t xml:space="preserve"> is consistent with the terms of the Order in Docket No.</w:t>
      </w:r>
      <w:r w:rsidR="00D9542D">
        <w:t> </w:t>
      </w:r>
      <w:r w:rsidR="00D74449">
        <w:t>32915</w:t>
      </w:r>
      <w:r>
        <w:rPr>
          <w:rStyle w:val="FootnoteReference"/>
        </w:rPr>
        <w:footnoteReference w:id="9"/>
      </w:r>
      <w:r>
        <w:t xml:space="preserve"> and this process should be used to guide the ALJ in processing ETI’s application in this case.</w:t>
      </w:r>
    </w:p>
    <w:p w14:paraId="2C85EA74" w14:textId="23363611" w:rsidR="00BB41AE" w:rsidRDefault="00486E8E" w:rsidP="00D9542D">
      <w:pPr>
        <w:pStyle w:val="BodyTextFirstIndent"/>
      </w:pPr>
      <w:r>
        <w:t>In order to comply with the procedure adopted by the Commission in Docket No.</w:t>
      </w:r>
      <w:r w:rsidR="00D9542D">
        <w:t> </w:t>
      </w:r>
      <w:r w:rsidR="00D74449">
        <w:t>32915</w:t>
      </w:r>
      <w:r>
        <w:t>, a date for the Commission Staff recommendation is required.  Given the abbreviated schedule for</w:t>
      </w:r>
      <w:r w:rsidR="00BB41AE">
        <w:t xml:space="preserve"> implementing the revised Fixed Fuel Factor, ETI requests that the ALJ order the Commission Staff to </w:t>
      </w:r>
      <w:r w:rsidR="00BB41AE" w:rsidRPr="00BF47C2">
        <w:t xml:space="preserve">provide </w:t>
      </w:r>
      <w:r w:rsidR="00BB41AE" w:rsidRPr="00FD7CF5">
        <w:t xml:space="preserve">its recommendation </w:t>
      </w:r>
      <w:r w:rsidR="00BB41AE" w:rsidRPr="000E34D8">
        <w:t xml:space="preserve">on the Company’s Application </w:t>
      </w:r>
      <w:r w:rsidR="00401842" w:rsidRPr="000E34D8">
        <w:t xml:space="preserve">and proposed notice </w:t>
      </w:r>
      <w:r w:rsidR="00BB41AE" w:rsidRPr="000E34D8">
        <w:t xml:space="preserve">by </w:t>
      </w:r>
      <w:r w:rsidR="00D14DCD">
        <w:t xml:space="preserve">February </w:t>
      </w:r>
      <w:r w:rsidR="007A3B14">
        <w:t>24</w:t>
      </w:r>
      <w:r w:rsidR="000B57BE" w:rsidRPr="000E34D8">
        <w:t>,</w:t>
      </w:r>
      <w:r w:rsidR="00D9542D">
        <w:t> </w:t>
      </w:r>
      <w:r w:rsidR="00A223FA" w:rsidRPr="000E34D8">
        <w:t>20</w:t>
      </w:r>
      <w:r w:rsidR="007A3B14">
        <w:t>20</w:t>
      </w:r>
      <w:r w:rsidR="00BB41AE" w:rsidRPr="000E34D8">
        <w:t xml:space="preserve">, that the ALJ approve ETI’s request on an interim basis no later than </w:t>
      </w:r>
      <w:r w:rsidR="007A3B14">
        <w:t>February 27</w:t>
      </w:r>
      <w:r w:rsidR="002B7926">
        <w:t>,</w:t>
      </w:r>
      <w:r w:rsidR="00D9542D">
        <w:t> </w:t>
      </w:r>
      <w:r w:rsidR="006A2359" w:rsidRPr="000E34D8">
        <w:t>20</w:t>
      </w:r>
      <w:r w:rsidR="007A3B14">
        <w:t>20</w:t>
      </w:r>
      <w:r w:rsidR="00BB41AE" w:rsidRPr="000E34D8">
        <w:t>, which approval would be effective for</w:t>
      </w:r>
      <w:r w:rsidR="00EB1784">
        <w:t xml:space="preserve"> </w:t>
      </w:r>
      <w:r w:rsidR="007A3B14">
        <w:t>March 3</w:t>
      </w:r>
      <w:r w:rsidR="002B7926">
        <w:t>,</w:t>
      </w:r>
      <w:r w:rsidR="00D9542D">
        <w:t> </w:t>
      </w:r>
      <w:r w:rsidR="006A2359" w:rsidRPr="000E34D8">
        <w:t>20</w:t>
      </w:r>
      <w:r w:rsidR="007A3B14">
        <w:t>20</w:t>
      </w:r>
      <w:r w:rsidR="00BB41AE" w:rsidRPr="000E34D8">
        <w:t xml:space="preserve">, of ETI’s Schedule FF, </w:t>
      </w:r>
      <w:r w:rsidR="00CD5CFF" w:rsidRPr="000E34D8">
        <w:t xml:space="preserve">Tariff Sheet </w:t>
      </w:r>
      <w:r w:rsidR="00CD5CFF" w:rsidRPr="0092653A">
        <w:t xml:space="preserve">No. </w:t>
      </w:r>
      <w:r w:rsidR="00CD5CFF" w:rsidRPr="00542683">
        <w:t>51</w:t>
      </w:r>
      <w:r w:rsidR="00CD5CFF" w:rsidRPr="0092653A">
        <w:t xml:space="preserve">, Revision </w:t>
      </w:r>
      <w:r w:rsidR="00542683">
        <w:t>50</w:t>
      </w:r>
      <w:r w:rsidR="00BB41AE" w:rsidRPr="003C4489">
        <w:t>,</w:t>
      </w:r>
      <w:r w:rsidR="00BB41AE" w:rsidRPr="000E34D8">
        <w:t xml:space="preserve"> and for such other relief to which the Company</w:t>
      </w:r>
      <w:r w:rsidR="00BB41AE">
        <w:t xml:space="preserve"> is entitled.</w:t>
      </w:r>
    </w:p>
    <w:p w14:paraId="288026D4" w14:textId="77777777" w:rsidR="009F44E4" w:rsidRDefault="009F44E4" w:rsidP="00BB41AE"/>
    <w:p w14:paraId="575E5FD1" w14:textId="77777777" w:rsidR="00100D20" w:rsidRDefault="00100D20">
      <w:pPr>
        <w:spacing w:after="200" w:line="276" w:lineRule="auto"/>
        <w:jc w:val="left"/>
      </w:pPr>
      <w:r>
        <w:br w:type="page"/>
      </w:r>
    </w:p>
    <w:p w14:paraId="5A8EB5BB" w14:textId="260B057E" w:rsidR="00BB41AE" w:rsidRDefault="00BB41AE" w:rsidP="00BB41AE">
      <w:r>
        <w:lastRenderedPageBreak/>
        <w:t xml:space="preserve">Dated: </w:t>
      </w:r>
      <w:r w:rsidR="007A3B14">
        <w:t xml:space="preserve">February </w:t>
      </w:r>
      <w:r w:rsidR="00A52D9F">
        <w:t>20</w:t>
      </w:r>
      <w:r w:rsidR="00CD2E52">
        <w:t>,</w:t>
      </w:r>
      <w:r w:rsidR="00871B5D">
        <w:t xml:space="preserve"> 20</w:t>
      </w:r>
      <w:r w:rsidR="007A3B14">
        <w:t>20</w:t>
      </w:r>
    </w:p>
    <w:p w14:paraId="2FDEBAD9" w14:textId="77777777" w:rsidR="00BB41AE" w:rsidRDefault="00BB41AE" w:rsidP="002577EA">
      <w:pPr>
        <w:ind w:firstLine="4320"/>
      </w:pPr>
      <w:r>
        <w:t>Respectfully submitted,</w:t>
      </w:r>
    </w:p>
    <w:p w14:paraId="0EB2F099" w14:textId="68264C81" w:rsidR="00BB41AE" w:rsidRDefault="00B07B44" w:rsidP="002577EA">
      <w:pPr>
        <w:spacing w:line="240" w:lineRule="auto"/>
        <w:ind w:firstLine="4320"/>
      </w:pPr>
      <w:r>
        <w:t>Miguel Suazo</w:t>
      </w:r>
    </w:p>
    <w:p w14:paraId="01C4E84A" w14:textId="2051EFF2" w:rsidR="00CD2E52" w:rsidRDefault="00B07B44" w:rsidP="002577EA">
      <w:pPr>
        <w:spacing w:line="240" w:lineRule="auto"/>
        <w:ind w:firstLine="4320"/>
      </w:pPr>
      <w:r>
        <w:t xml:space="preserve">Senior </w:t>
      </w:r>
      <w:r w:rsidR="00CD2E52">
        <w:t xml:space="preserve">Counsel </w:t>
      </w:r>
    </w:p>
    <w:p w14:paraId="7A101607" w14:textId="1700D33B" w:rsidR="00BB41AE" w:rsidRDefault="00FF4F75" w:rsidP="002577EA">
      <w:pPr>
        <w:spacing w:line="240" w:lineRule="auto"/>
        <w:ind w:firstLine="4320"/>
      </w:pPr>
      <w:r>
        <w:t>Entergy Services, LLC</w:t>
      </w:r>
    </w:p>
    <w:p w14:paraId="5629FEC2" w14:textId="77777777" w:rsidR="00BB41AE" w:rsidRDefault="002577EA" w:rsidP="002577EA">
      <w:pPr>
        <w:spacing w:line="240" w:lineRule="auto"/>
        <w:ind w:firstLine="4320"/>
      </w:pPr>
      <w:r>
        <w:t xml:space="preserve">919 Congress Avenue, Suite </w:t>
      </w:r>
      <w:r w:rsidR="00A86251">
        <w:t>701</w:t>
      </w:r>
    </w:p>
    <w:p w14:paraId="241F3EC1" w14:textId="026ECCCB" w:rsidR="00BB41AE" w:rsidRDefault="00BB41AE" w:rsidP="002577EA">
      <w:pPr>
        <w:spacing w:line="240" w:lineRule="auto"/>
        <w:ind w:firstLine="4320"/>
      </w:pPr>
      <w:r>
        <w:t>Austin, Texas 78701</w:t>
      </w:r>
    </w:p>
    <w:p w14:paraId="5DB749A1" w14:textId="3A74EF2F" w:rsidR="00BB41AE" w:rsidRDefault="00BB41AE" w:rsidP="002577EA">
      <w:pPr>
        <w:spacing w:line="240" w:lineRule="auto"/>
        <w:ind w:firstLine="4320"/>
      </w:pPr>
      <w:r>
        <w:t>(512) 487-39</w:t>
      </w:r>
      <w:r w:rsidR="00B07B44">
        <w:t>61</w:t>
      </w:r>
    </w:p>
    <w:p w14:paraId="5B908552" w14:textId="13A71699" w:rsidR="00BB41AE" w:rsidRDefault="003C31C8" w:rsidP="002577EA">
      <w:pPr>
        <w:spacing w:line="240" w:lineRule="auto"/>
        <w:ind w:firstLine="4320"/>
      </w:pPr>
      <w:r w:rsidRPr="001443C3">
        <w:rPr>
          <w:noProof/>
        </w:rPr>
        <w:drawing>
          <wp:anchor distT="0" distB="0" distL="114300" distR="114300" simplePos="0" relativeHeight="251659264" behindDoc="1" locked="0" layoutInCell="1" allowOverlap="1" wp14:anchorId="7C60A38B" wp14:editId="03140576">
            <wp:simplePos x="0" y="0"/>
            <wp:positionH relativeFrom="column">
              <wp:posOffset>3009900</wp:posOffset>
            </wp:positionH>
            <wp:positionV relativeFrom="paragraph">
              <wp:posOffset>160020</wp:posOffset>
            </wp:positionV>
            <wp:extent cx="2227004" cy="570865"/>
            <wp:effectExtent l="0" t="0" r="1905" b="63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lum bright="-20000" contrast="40000"/>
                      <a:extLst>
                        <a:ext uri="{28A0092B-C50C-407E-A947-70E740481C1C}">
                          <a14:useLocalDpi xmlns:a14="http://schemas.microsoft.com/office/drawing/2010/main" val="0"/>
                        </a:ext>
                      </a:extLst>
                    </a:blip>
                    <a:srcRect/>
                    <a:stretch>
                      <a:fillRect/>
                    </a:stretch>
                  </pic:blipFill>
                  <pic:spPr bwMode="auto">
                    <a:xfrm>
                      <a:off x="0" y="0"/>
                      <a:ext cx="2227004" cy="570865"/>
                    </a:xfrm>
                    <a:prstGeom prst="rect">
                      <a:avLst/>
                    </a:prstGeom>
                    <a:noFill/>
                    <a:ln>
                      <a:noFill/>
                    </a:ln>
                  </pic:spPr>
                </pic:pic>
              </a:graphicData>
            </a:graphic>
            <wp14:sizeRelH relativeFrom="page">
              <wp14:pctWidth>0</wp14:pctWidth>
            </wp14:sizeRelH>
            <wp14:sizeRelV relativeFrom="page">
              <wp14:pctHeight>0</wp14:pctHeight>
            </wp14:sizeRelV>
          </wp:anchor>
        </w:drawing>
      </w:r>
      <w:r w:rsidR="00BB41AE">
        <w:t>(512) 487-3958 (Fax)</w:t>
      </w:r>
    </w:p>
    <w:p w14:paraId="525780D7" w14:textId="0F390E60" w:rsidR="00BB41AE" w:rsidRDefault="00BB41AE" w:rsidP="002577EA">
      <w:pPr>
        <w:spacing w:line="240" w:lineRule="auto"/>
        <w:ind w:firstLine="4320"/>
      </w:pPr>
    </w:p>
    <w:p w14:paraId="01F6A116" w14:textId="68B21A47" w:rsidR="00BB41AE" w:rsidRDefault="00BB41AE" w:rsidP="002577EA">
      <w:pPr>
        <w:spacing w:line="240" w:lineRule="auto"/>
        <w:ind w:firstLine="4320"/>
      </w:pPr>
    </w:p>
    <w:p w14:paraId="6D8E6876" w14:textId="77777777" w:rsidR="00BB41AE" w:rsidRDefault="00BB41AE" w:rsidP="002577EA">
      <w:pPr>
        <w:spacing w:line="240" w:lineRule="auto"/>
        <w:ind w:firstLine="4320"/>
      </w:pPr>
      <w:r>
        <w:t>By:</w:t>
      </w:r>
      <w:r>
        <w:tab/>
        <w:t>______________________________</w:t>
      </w:r>
    </w:p>
    <w:p w14:paraId="0B4A5BCD" w14:textId="5A6B6D0B" w:rsidR="00BB41AE" w:rsidRDefault="00BB41AE" w:rsidP="002577EA">
      <w:pPr>
        <w:spacing w:line="240" w:lineRule="auto"/>
        <w:ind w:firstLine="4320"/>
      </w:pPr>
      <w:r>
        <w:tab/>
      </w:r>
      <w:r w:rsidR="00B07B44">
        <w:t>Miguel Suazo</w:t>
      </w:r>
    </w:p>
    <w:p w14:paraId="3EB0854A" w14:textId="66432A71" w:rsidR="00BB41AE" w:rsidRDefault="00907321" w:rsidP="002577EA">
      <w:pPr>
        <w:pStyle w:val="BodyTextIndent2"/>
        <w:tabs>
          <w:tab w:val="left" w:pos="4680"/>
        </w:tabs>
        <w:spacing w:line="240" w:lineRule="auto"/>
        <w:ind w:firstLine="4320"/>
        <w:jc w:val="both"/>
        <w:rPr>
          <w:rFonts w:ascii="Times New Roman" w:hAnsi="Times New Roman"/>
          <w:szCs w:val="24"/>
        </w:rPr>
      </w:pPr>
      <w:r>
        <w:rPr>
          <w:rFonts w:ascii="Times New Roman" w:hAnsi="Times New Roman"/>
          <w:szCs w:val="24"/>
        </w:rPr>
        <w:tab/>
      </w:r>
      <w:r>
        <w:rPr>
          <w:rFonts w:ascii="Times New Roman" w:hAnsi="Times New Roman"/>
          <w:szCs w:val="24"/>
        </w:rPr>
        <w:tab/>
      </w:r>
      <w:r w:rsidRPr="00782B38">
        <w:rPr>
          <w:rFonts w:ascii="Times New Roman" w:hAnsi="Times New Roman"/>
          <w:szCs w:val="24"/>
        </w:rPr>
        <w:t xml:space="preserve">State Bar No. </w:t>
      </w:r>
      <w:r w:rsidR="00D21A7C">
        <w:rPr>
          <w:rFonts w:ascii="Times New Roman" w:hAnsi="Times New Roman"/>
          <w:szCs w:val="24"/>
        </w:rPr>
        <w:t>24085608</w:t>
      </w:r>
    </w:p>
    <w:p w14:paraId="14F63C1B" w14:textId="77777777" w:rsidR="00907321" w:rsidRPr="00907321" w:rsidRDefault="00907321" w:rsidP="002577EA">
      <w:pPr>
        <w:pStyle w:val="BodyTextIndent2"/>
        <w:tabs>
          <w:tab w:val="left" w:pos="4680"/>
        </w:tabs>
        <w:spacing w:line="240" w:lineRule="auto"/>
        <w:ind w:firstLine="4320"/>
        <w:jc w:val="both"/>
        <w:rPr>
          <w:rFonts w:ascii="Times New Roman" w:hAnsi="Times New Roman"/>
          <w:szCs w:val="24"/>
        </w:rPr>
      </w:pPr>
    </w:p>
    <w:p w14:paraId="456C9194" w14:textId="77777777" w:rsidR="00BB41AE" w:rsidRDefault="00BB41AE" w:rsidP="002577EA">
      <w:pPr>
        <w:spacing w:line="240" w:lineRule="auto"/>
        <w:ind w:firstLine="4320"/>
        <w:rPr>
          <w:b/>
        </w:rPr>
      </w:pPr>
      <w:r w:rsidRPr="00BB41AE">
        <w:rPr>
          <w:b/>
        </w:rPr>
        <w:t>ATTORNEY FOR ENTERGY TEXAS, INC.</w:t>
      </w:r>
    </w:p>
    <w:p w14:paraId="7119B653" w14:textId="77777777" w:rsidR="00BB41AE" w:rsidRDefault="00BB41AE" w:rsidP="002577EA">
      <w:pPr>
        <w:spacing w:line="240" w:lineRule="auto"/>
        <w:ind w:firstLine="4320"/>
        <w:rPr>
          <w:b/>
        </w:rPr>
      </w:pPr>
    </w:p>
    <w:p w14:paraId="02748D03" w14:textId="77777777" w:rsidR="00987982" w:rsidRDefault="00987982" w:rsidP="002577EA">
      <w:pPr>
        <w:spacing w:line="240" w:lineRule="auto"/>
        <w:ind w:firstLine="4320"/>
        <w:rPr>
          <w:b/>
        </w:rPr>
      </w:pPr>
    </w:p>
    <w:p w14:paraId="4C524D22" w14:textId="77777777" w:rsidR="00BB41AE" w:rsidRDefault="00BB41AE" w:rsidP="00BB41AE">
      <w:pPr>
        <w:spacing w:line="240" w:lineRule="auto"/>
        <w:ind w:firstLine="4320"/>
        <w:rPr>
          <w:b/>
        </w:rPr>
      </w:pPr>
    </w:p>
    <w:p w14:paraId="0C65EF2B" w14:textId="77777777" w:rsidR="00BB41AE" w:rsidRDefault="00BB41AE" w:rsidP="00BB41AE">
      <w:pPr>
        <w:spacing w:line="240" w:lineRule="auto"/>
        <w:jc w:val="center"/>
        <w:rPr>
          <w:b/>
          <w:u w:val="single"/>
        </w:rPr>
      </w:pPr>
      <w:r>
        <w:rPr>
          <w:b/>
          <w:u w:val="single"/>
        </w:rPr>
        <w:t>CERTIFICATE OF SERVICE</w:t>
      </w:r>
    </w:p>
    <w:p w14:paraId="3D94F89F" w14:textId="77777777" w:rsidR="00BB41AE" w:rsidRDefault="00BB41AE" w:rsidP="00BB41AE">
      <w:pPr>
        <w:spacing w:line="240" w:lineRule="auto"/>
        <w:jc w:val="center"/>
        <w:rPr>
          <w:b/>
          <w:u w:val="single"/>
        </w:rPr>
      </w:pPr>
    </w:p>
    <w:p w14:paraId="1712C7DA" w14:textId="77CBCC59" w:rsidR="00BB41AE" w:rsidRDefault="00BB41AE" w:rsidP="00D9542D">
      <w:pPr>
        <w:pStyle w:val="BodyTextFirstIndent"/>
      </w:pPr>
      <w:r>
        <w:t xml:space="preserve">I certify that a true and correct copy of this document was served by </w:t>
      </w:r>
      <w:r w:rsidR="00204497">
        <w:t xml:space="preserve">e-mail, </w:t>
      </w:r>
      <w:r>
        <w:t>facsimile, hand delivery, overnight delivery, or first-class U.S. Mail on all parties of record in Docket No.</w:t>
      </w:r>
      <w:r w:rsidR="00D9542D">
        <w:t> </w:t>
      </w:r>
      <w:r w:rsidR="00267486">
        <w:t xml:space="preserve">46076 (ETI’s most recent fuel reconciliation docket) </w:t>
      </w:r>
      <w:r w:rsidRPr="000237D0">
        <w:t xml:space="preserve">on </w:t>
      </w:r>
      <w:r w:rsidR="002033B0">
        <w:t>February</w:t>
      </w:r>
      <w:r w:rsidR="002B7926">
        <w:t xml:space="preserve"> </w:t>
      </w:r>
      <w:r w:rsidR="008D57F6">
        <w:t>20</w:t>
      </w:r>
      <w:r w:rsidR="002B7926">
        <w:t>,</w:t>
      </w:r>
      <w:r w:rsidR="00871B5D">
        <w:t xml:space="preserve"> 20</w:t>
      </w:r>
      <w:r w:rsidR="007A3B14">
        <w:t>20</w:t>
      </w:r>
      <w:r w:rsidRPr="000237D0">
        <w:t>.</w:t>
      </w:r>
    </w:p>
    <w:p w14:paraId="4689B2BD" w14:textId="7FAA363B" w:rsidR="00BB41AE" w:rsidRDefault="003C31C8" w:rsidP="00BB41AE">
      <w:pPr>
        <w:spacing w:line="240" w:lineRule="auto"/>
      </w:pPr>
      <w:r w:rsidRPr="001443C3">
        <w:rPr>
          <w:noProof/>
        </w:rPr>
        <w:drawing>
          <wp:anchor distT="0" distB="0" distL="114300" distR="114300" simplePos="0" relativeHeight="251661312" behindDoc="1" locked="0" layoutInCell="1" allowOverlap="1" wp14:anchorId="3F4597B6" wp14:editId="36A85969">
            <wp:simplePos x="0" y="0"/>
            <wp:positionH relativeFrom="column">
              <wp:posOffset>3009900</wp:posOffset>
            </wp:positionH>
            <wp:positionV relativeFrom="paragraph">
              <wp:posOffset>95885</wp:posOffset>
            </wp:positionV>
            <wp:extent cx="2226945" cy="570850"/>
            <wp:effectExtent l="0" t="0" r="1905"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lum bright="-20000" contrast="40000"/>
                      <a:extLst>
                        <a:ext uri="{28A0092B-C50C-407E-A947-70E740481C1C}">
                          <a14:useLocalDpi xmlns:a14="http://schemas.microsoft.com/office/drawing/2010/main" val="0"/>
                        </a:ext>
                      </a:extLst>
                    </a:blip>
                    <a:srcRect/>
                    <a:stretch>
                      <a:fillRect/>
                    </a:stretch>
                  </pic:blipFill>
                  <pic:spPr bwMode="auto">
                    <a:xfrm>
                      <a:off x="0" y="0"/>
                      <a:ext cx="2226945" cy="570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9ACD82" w14:textId="15AF4301" w:rsidR="00D9542D" w:rsidRDefault="00D9542D" w:rsidP="00BB41AE">
      <w:pPr>
        <w:spacing w:line="240" w:lineRule="auto"/>
      </w:pPr>
    </w:p>
    <w:p w14:paraId="6CCACDB0" w14:textId="64105137" w:rsidR="00D9542D" w:rsidRDefault="00D9542D" w:rsidP="003C31C8">
      <w:pPr>
        <w:spacing w:line="240" w:lineRule="auto"/>
        <w:ind w:left="4770"/>
      </w:pPr>
    </w:p>
    <w:p w14:paraId="3B41D47F" w14:textId="77777777" w:rsidR="00BB41AE" w:rsidRDefault="00BB41AE" w:rsidP="00BB41AE">
      <w:pPr>
        <w:spacing w:line="240" w:lineRule="auto"/>
      </w:pPr>
      <w:r>
        <w:tab/>
      </w:r>
      <w:r>
        <w:tab/>
      </w:r>
      <w:r>
        <w:tab/>
      </w:r>
      <w:r>
        <w:tab/>
      </w:r>
      <w:r>
        <w:tab/>
      </w:r>
      <w:r>
        <w:tab/>
      </w:r>
      <w:r>
        <w:tab/>
        <w:t>________________________________</w:t>
      </w:r>
    </w:p>
    <w:p w14:paraId="6781D3D7" w14:textId="4853876E" w:rsidR="00BB41AE" w:rsidRPr="00BB41AE" w:rsidRDefault="00BB41AE" w:rsidP="00BB41AE">
      <w:pPr>
        <w:spacing w:line="240" w:lineRule="auto"/>
      </w:pPr>
      <w:r>
        <w:tab/>
      </w:r>
      <w:r>
        <w:tab/>
      </w:r>
      <w:r>
        <w:tab/>
      </w:r>
      <w:r>
        <w:tab/>
      </w:r>
      <w:r>
        <w:tab/>
      </w:r>
      <w:r>
        <w:tab/>
      </w:r>
      <w:r>
        <w:tab/>
      </w:r>
      <w:r w:rsidR="00D21A7C">
        <w:t>Miguel Suazo</w:t>
      </w:r>
    </w:p>
    <w:sectPr w:rsidR="00BB41AE" w:rsidRPr="00BB41AE" w:rsidSect="00AC66C1">
      <w:headerReference w:type="default" r:id="rId9"/>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5A9A8" w14:textId="77777777" w:rsidR="00364917" w:rsidRDefault="00364917" w:rsidP="00714F0A">
      <w:pPr>
        <w:spacing w:line="240" w:lineRule="auto"/>
      </w:pPr>
      <w:r>
        <w:separator/>
      </w:r>
    </w:p>
  </w:endnote>
  <w:endnote w:type="continuationSeparator" w:id="0">
    <w:p w14:paraId="6284DD61" w14:textId="77777777" w:rsidR="00364917" w:rsidRDefault="00364917" w:rsidP="00714F0A">
      <w:pPr>
        <w:spacing w:line="240" w:lineRule="auto"/>
      </w:pPr>
      <w:r>
        <w:continuationSeparator/>
      </w:r>
    </w:p>
  </w:endnote>
  <w:endnote w:type="continuationNotice" w:id="1">
    <w:p w14:paraId="5E1EA422" w14:textId="77777777" w:rsidR="00364917" w:rsidRDefault="003649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3531556"/>
      <w:docPartObj>
        <w:docPartGallery w:val="Page Numbers (Bottom of Page)"/>
        <w:docPartUnique/>
      </w:docPartObj>
    </w:sdtPr>
    <w:sdtEndPr>
      <w:rPr>
        <w:sz w:val="24"/>
      </w:rPr>
    </w:sdtEndPr>
    <w:sdtContent>
      <w:p w14:paraId="6C9FA042" w14:textId="77777777" w:rsidR="0059708E" w:rsidRPr="00B82813" w:rsidRDefault="00C85A17">
        <w:pPr>
          <w:pStyle w:val="Footer"/>
          <w:jc w:val="center"/>
          <w:rPr>
            <w:sz w:val="24"/>
          </w:rPr>
        </w:pPr>
        <w:r w:rsidRPr="00B82813">
          <w:rPr>
            <w:sz w:val="24"/>
          </w:rPr>
          <w:fldChar w:fldCharType="begin"/>
        </w:r>
        <w:r w:rsidR="0059708E" w:rsidRPr="00B82813">
          <w:rPr>
            <w:sz w:val="24"/>
          </w:rPr>
          <w:instrText xml:space="preserve"> PAGE   \* MERGEFORMAT </w:instrText>
        </w:r>
        <w:r w:rsidRPr="00B82813">
          <w:rPr>
            <w:sz w:val="24"/>
          </w:rPr>
          <w:fldChar w:fldCharType="separate"/>
        </w:r>
        <w:r w:rsidR="004075C1">
          <w:rPr>
            <w:noProof/>
            <w:sz w:val="24"/>
          </w:rPr>
          <w:t>1</w:t>
        </w:r>
        <w:r w:rsidRPr="00B82813">
          <w:rPr>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98C52" w14:textId="77777777" w:rsidR="00364917" w:rsidRDefault="00364917" w:rsidP="00714F0A">
      <w:pPr>
        <w:spacing w:line="240" w:lineRule="auto"/>
      </w:pPr>
      <w:r>
        <w:separator/>
      </w:r>
    </w:p>
  </w:footnote>
  <w:footnote w:type="continuationSeparator" w:id="0">
    <w:p w14:paraId="5BCD37EE" w14:textId="77777777" w:rsidR="00364917" w:rsidRDefault="00364917" w:rsidP="00714F0A">
      <w:pPr>
        <w:spacing w:line="240" w:lineRule="auto"/>
      </w:pPr>
      <w:r>
        <w:continuationSeparator/>
      </w:r>
    </w:p>
  </w:footnote>
  <w:footnote w:type="continuationNotice" w:id="1">
    <w:p w14:paraId="5221CF92" w14:textId="77777777" w:rsidR="00364917" w:rsidRDefault="00364917">
      <w:pPr>
        <w:spacing w:line="240" w:lineRule="auto"/>
      </w:pPr>
    </w:p>
  </w:footnote>
  <w:footnote w:id="2">
    <w:p w14:paraId="7FEE8F09" w14:textId="77777777" w:rsidR="00E155B1" w:rsidRPr="0099441C" w:rsidRDefault="00E155B1" w:rsidP="00E155B1">
      <w:pPr>
        <w:pStyle w:val="FootnoteText"/>
        <w:tabs>
          <w:tab w:val="clear" w:pos="720"/>
          <w:tab w:val="left" w:pos="360"/>
        </w:tabs>
        <w:spacing w:after="120"/>
      </w:pPr>
      <w:r>
        <w:rPr>
          <w:rStyle w:val="FootnoteReference"/>
        </w:rPr>
        <w:footnoteRef/>
      </w:r>
      <w:r>
        <w:t xml:space="preserve"> </w:t>
      </w:r>
      <w:r>
        <w:tab/>
      </w:r>
      <w:r>
        <w:rPr>
          <w:i/>
        </w:rPr>
        <w:t xml:space="preserve">Application of Entergy Gulf States, Inc. to Revise Fuel Factor Formula, </w:t>
      </w:r>
      <w:r>
        <w:t>Docket No. 32915, Order No. 3 - Granting Interim Approval of Revised Fuel Factor Formula (August 9, 2006); and Order (September 8, 2006).</w:t>
      </w:r>
    </w:p>
  </w:footnote>
  <w:footnote w:id="3">
    <w:p w14:paraId="7DF24906" w14:textId="17118AA6" w:rsidR="0059708E" w:rsidRDefault="0059708E" w:rsidP="007037CE">
      <w:pPr>
        <w:pStyle w:val="FootnoteText"/>
        <w:tabs>
          <w:tab w:val="clear" w:pos="720"/>
          <w:tab w:val="left" w:pos="360"/>
        </w:tabs>
        <w:spacing w:after="120"/>
      </w:pPr>
      <w:r>
        <w:rPr>
          <w:rStyle w:val="FootnoteReference"/>
        </w:rPr>
        <w:footnoteRef/>
      </w:r>
      <w:r>
        <w:t xml:space="preserve"> </w:t>
      </w:r>
      <w:r>
        <w:tab/>
        <w:t xml:space="preserve">In Docket Nos. 36710, 37365, 37969, 38565, </w:t>
      </w:r>
      <w:r w:rsidR="00D862DE">
        <w:t>39156, 40189, 40654,</w:t>
      </w:r>
      <w:r>
        <w:t xml:space="preserve"> 41234,</w:t>
      </w:r>
      <w:r w:rsidR="00D862DE">
        <w:t xml:space="preserve"> 41767, 42253</w:t>
      </w:r>
      <w:r w:rsidR="00224973">
        <w:t>,</w:t>
      </w:r>
      <w:r w:rsidR="00D862DE">
        <w:t xml:space="preserve"> 42772</w:t>
      </w:r>
      <w:r w:rsidR="00D92557">
        <w:t xml:space="preserve">, </w:t>
      </w:r>
      <w:r w:rsidR="00224973">
        <w:t>44466</w:t>
      </w:r>
      <w:r w:rsidR="00D92557">
        <w:t>, 45052,</w:t>
      </w:r>
      <w:r w:rsidR="000E3D4B">
        <w:t xml:space="preserve"> 45632</w:t>
      </w:r>
      <w:r w:rsidR="002B7926">
        <w:t>,</w:t>
      </w:r>
      <w:r w:rsidR="002D33DF">
        <w:t xml:space="preserve"> 46292</w:t>
      </w:r>
      <w:r w:rsidR="000E3D4B">
        <w:t>,</w:t>
      </w:r>
      <w:r w:rsidR="00D862DE">
        <w:t xml:space="preserve"> </w:t>
      </w:r>
      <w:r w:rsidR="002B7926">
        <w:t>46872</w:t>
      </w:r>
      <w:r w:rsidR="00FD4FAC">
        <w:t xml:space="preserve">, </w:t>
      </w:r>
      <w:r w:rsidR="004430A9">
        <w:t xml:space="preserve">48604, </w:t>
      </w:r>
      <w:r w:rsidR="00FD4FAC">
        <w:t>49243</w:t>
      </w:r>
      <w:r w:rsidR="009A1CB1">
        <w:t>, and 49873</w:t>
      </w:r>
      <w:r w:rsidR="002B7926">
        <w:t xml:space="preserve"> </w:t>
      </w:r>
      <w:r>
        <w:t>the Commission referred the Company’s request for modification of its Interim Fixed Fuel Factor to SOAH, rather than addressing the Company’s application at the Commission.  The Company files its request in anticipation that a similar process will be employed with regard to the Company’s instant filing.</w:t>
      </w:r>
      <w:r w:rsidR="00F61C21">
        <w:t xml:space="preserve">  </w:t>
      </w:r>
    </w:p>
  </w:footnote>
  <w:footnote w:id="4">
    <w:p w14:paraId="52E855A7" w14:textId="68FB2DC7" w:rsidR="0059708E" w:rsidRDefault="0059708E" w:rsidP="007037CE">
      <w:pPr>
        <w:pStyle w:val="FootnoteText"/>
        <w:tabs>
          <w:tab w:val="clear" w:pos="720"/>
          <w:tab w:val="left" w:pos="360"/>
        </w:tabs>
        <w:spacing w:after="120"/>
      </w:pPr>
      <w:r w:rsidRPr="00BF47C2">
        <w:rPr>
          <w:rStyle w:val="FootnoteReference"/>
        </w:rPr>
        <w:footnoteRef/>
      </w:r>
      <w:r w:rsidRPr="00BF47C2">
        <w:t xml:space="preserve"> </w:t>
      </w:r>
      <w:r w:rsidRPr="00BF47C2">
        <w:tab/>
        <w:t>The Company has verified that the receipt of an order on or before</w:t>
      </w:r>
      <w:r w:rsidR="000E3D4B">
        <w:t xml:space="preserve"> </w:t>
      </w:r>
      <w:r w:rsidR="00233649">
        <w:t>Thursday</w:t>
      </w:r>
      <w:r w:rsidR="00E60CBC">
        <w:t xml:space="preserve">, </w:t>
      </w:r>
      <w:r w:rsidR="00233649" w:rsidRPr="00DF68CE">
        <w:t>February</w:t>
      </w:r>
      <w:r w:rsidR="002B7926" w:rsidRPr="00DF68CE">
        <w:t xml:space="preserve"> </w:t>
      </w:r>
      <w:r w:rsidR="00C427B1" w:rsidRPr="00DF68CE">
        <w:t>2</w:t>
      </w:r>
      <w:r w:rsidR="00233649" w:rsidRPr="00DF68CE">
        <w:t>7</w:t>
      </w:r>
      <w:r w:rsidR="002B7926" w:rsidRPr="00DF68CE">
        <w:t>,</w:t>
      </w:r>
      <w:r w:rsidR="00D50612" w:rsidRPr="00DF68CE">
        <w:t xml:space="preserve"> 20</w:t>
      </w:r>
      <w:r w:rsidR="00233649" w:rsidRPr="00DF68CE">
        <w:t>20</w:t>
      </w:r>
      <w:r w:rsidR="00233649">
        <w:t>,</w:t>
      </w:r>
      <w:r w:rsidRPr="000E34D8">
        <w:t xml:space="preserve"> will permit the Company sufficient time to implement a new fixed fuel factor to be implemented with the first billing cycle</w:t>
      </w:r>
      <w:r>
        <w:t xml:space="preserve"> in the </w:t>
      </w:r>
      <w:r w:rsidR="00233649">
        <w:t>March 2020</w:t>
      </w:r>
      <w:r w:rsidR="00D92557">
        <w:t xml:space="preserve"> </w:t>
      </w:r>
      <w:r>
        <w:t xml:space="preserve">billing month which is </w:t>
      </w:r>
      <w:r w:rsidR="00233649">
        <w:t>Tuesday</w:t>
      </w:r>
      <w:r w:rsidR="00E60CBC">
        <w:t xml:space="preserve">, </w:t>
      </w:r>
      <w:r w:rsidR="00233649">
        <w:t>March</w:t>
      </w:r>
      <w:r w:rsidR="00C427B1">
        <w:t xml:space="preserve"> </w:t>
      </w:r>
      <w:r w:rsidR="00233649">
        <w:t>3</w:t>
      </w:r>
      <w:r w:rsidR="002B7926">
        <w:t>,</w:t>
      </w:r>
      <w:r w:rsidR="00FD7CF5">
        <w:t xml:space="preserve"> 20</w:t>
      </w:r>
      <w:r w:rsidR="00233649">
        <w:t>20</w:t>
      </w:r>
      <w:r>
        <w:t>.</w:t>
      </w:r>
      <w:r w:rsidR="00F61C21">
        <w:t xml:space="preserve"> </w:t>
      </w:r>
    </w:p>
  </w:footnote>
  <w:footnote w:id="5">
    <w:p w14:paraId="362AC5DB" w14:textId="77777777" w:rsidR="0059708E" w:rsidRPr="0059708E" w:rsidRDefault="0059708E" w:rsidP="000E3AA0">
      <w:pPr>
        <w:pStyle w:val="FootnoteText"/>
        <w:tabs>
          <w:tab w:val="clear" w:pos="720"/>
          <w:tab w:val="left" w:pos="360"/>
        </w:tabs>
      </w:pPr>
      <w:r>
        <w:rPr>
          <w:rStyle w:val="FootnoteReference"/>
        </w:rPr>
        <w:footnoteRef/>
      </w:r>
      <w:r>
        <w:t xml:space="preserve"> </w:t>
      </w:r>
      <w:r>
        <w:tab/>
      </w:r>
      <w:r>
        <w:rPr>
          <w:i/>
        </w:rPr>
        <w:t>Application of Entergy Texas, Inc. to Implement an Interim Refund</w:t>
      </w:r>
      <w:r>
        <w:t>, Docket No. 40654, Order (</w:t>
      </w:r>
      <w:r w:rsidR="00E155B1">
        <w:t>Mar. 28, 2013).</w:t>
      </w:r>
    </w:p>
  </w:footnote>
  <w:footnote w:id="6">
    <w:p w14:paraId="21F52266" w14:textId="77777777" w:rsidR="0059708E" w:rsidRPr="008E4222" w:rsidRDefault="0059708E" w:rsidP="002E7C21">
      <w:pPr>
        <w:pStyle w:val="FootnoteText"/>
        <w:tabs>
          <w:tab w:val="clear" w:pos="720"/>
          <w:tab w:val="left" w:pos="360"/>
        </w:tabs>
        <w:spacing w:after="120"/>
      </w:pPr>
      <w:r>
        <w:rPr>
          <w:rStyle w:val="FootnoteReference"/>
        </w:rPr>
        <w:footnoteRef/>
      </w:r>
      <w:r>
        <w:t xml:space="preserve"> </w:t>
      </w:r>
      <w:r>
        <w:tab/>
        <w:t xml:space="preserve">Docket No. 32915, Order at FoF 23 (“The procedural process in place for EGSI’s current fuel factor revision and set forth in finding of fact 15 </w:t>
      </w:r>
      <w:r>
        <w:rPr>
          <w:i/>
        </w:rPr>
        <w:t>is reasonable</w:t>
      </w:r>
      <w:r>
        <w:t xml:space="preserve">.  Good cause exists to make exceptions to P.U.C. </w:t>
      </w:r>
      <w:r w:rsidRPr="008E4222">
        <w:rPr>
          <w:smallCaps/>
        </w:rPr>
        <w:t>Subst</w:t>
      </w:r>
      <w:r>
        <w:t xml:space="preserve">. R. 25.237(b), (d) and (c) in order to implement EGSI’s new fuel factor </w:t>
      </w:r>
      <w:r>
        <w:rPr>
          <w:i/>
        </w:rPr>
        <w:t>and continue the current abbreviated procedural process for approval of EGSI’s fixed fuel factor rate</w:t>
      </w:r>
      <w:r>
        <w:t>.”) (emphasis added).</w:t>
      </w:r>
    </w:p>
  </w:footnote>
  <w:footnote w:id="7">
    <w:p w14:paraId="5435739A" w14:textId="77777777" w:rsidR="0059708E" w:rsidRPr="008E4222" w:rsidRDefault="0059708E" w:rsidP="002E7C21">
      <w:pPr>
        <w:pStyle w:val="FootnoteText"/>
        <w:tabs>
          <w:tab w:val="clear" w:pos="720"/>
          <w:tab w:val="left" w:pos="360"/>
        </w:tabs>
        <w:spacing w:after="120"/>
      </w:pPr>
      <w:r>
        <w:rPr>
          <w:rStyle w:val="FootnoteReference"/>
        </w:rPr>
        <w:footnoteRef/>
      </w:r>
      <w:r>
        <w:t xml:space="preserve"> </w:t>
      </w:r>
      <w:r>
        <w:tab/>
      </w:r>
      <w:r>
        <w:rPr>
          <w:i/>
        </w:rPr>
        <w:t xml:space="preserve">Id. </w:t>
      </w:r>
      <w:r>
        <w:t>at FoF 18.</w:t>
      </w:r>
    </w:p>
  </w:footnote>
  <w:footnote w:id="8">
    <w:p w14:paraId="21A0BEE7" w14:textId="77777777" w:rsidR="0059708E" w:rsidRPr="00486E8E" w:rsidRDefault="0059708E" w:rsidP="002E7C21">
      <w:pPr>
        <w:pStyle w:val="FootnoteText"/>
        <w:tabs>
          <w:tab w:val="clear" w:pos="720"/>
          <w:tab w:val="left" w:pos="360"/>
        </w:tabs>
        <w:spacing w:after="120"/>
      </w:pPr>
      <w:r>
        <w:rPr>
          <w:rStyle w:val="FootnoteReference"/>
        </w:rPr>
        <w:footnoteRef/>
      </w:r>
      <w:r>
        <w:t xml:space="preserve"> </w:t>
      </w:r>
      <w:r>
        <w:tab/>
      </w:r>
      <w:r>
        <w:rPr>
          <w:i/>
        </w:rPr>
        <w:t>Id.</w:t>
      </w:r>
      <w:r>
        <w:t>, Order at FoF 15.</w:t>
      </w:r>
    </w:p>
  </w:footnote>
  <w:footnote w:id="9">
    <w:p w14:paraId="2EC8633C" w14:textId="77777777" w:rsidR="0059708E" w:rsidRDefault="0059708E" w:rsidP="002E7C21">
      <w:pPr>
        <w:pStyle w:val="FootnoteText"/>
        <w:tabs>
          <w:tab w:val="clear" w:pos="720"/>
          <w:tab w:val="left" w:pos="360"/>
        </w:tabs>
        <w:spacing w:after="120"/>
      </w:pPr>
      <w:r>
        <w:rPr>
          <w:rStyle w:val="FootnoteReference"/>
        </w:rPr>
        <w:footnoteRef/>
      </w:r>
      <w:r>
        <w:t xml:space="preserve"> </w:t>
      </w:r>
      <w:r>
        <w:tab/>
      </w:r>
      <w:r>
        <w:rPr>
          <w:i/>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32C45" w14:textId="77777777" w:rsidR="0059708E" w:rsidRPr="00100D20" w:rsidRDefault="0059708E" w:rsidP="00100D20">
    <w:pPr>
      <w:pStyle w:val="Header"/>
      <w:numPr>
        <w:ilvl w:val="0"/>
        <w:numId w:val="0"/>
      </w:numPr>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6EB8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77A51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3ACFD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B664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8B4388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ADE178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340C8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C6A0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38826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FE16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BE2173"/>
    <w:multiLevelType w:val="hybridMultilevel"/>
    <w:tmpl w:val="02140E60"/>
    <w:lvl w:ilvl="0" w:tplc="DC36BF92">
      <w:start w:val="1"/>
      <w:numFmt w:val="upperRoman"/>
      <w:pStyle w:val="Header"/>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763DAF"/>
    <w:multiLevelType w:val="hybridMultilevel"/>
    <w:tmpl w:val="655E30F4"/>
    <w:lvl w:ilvl="0" w:tplc="4B8C8D54">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F0A"/>
    <w:rsid w:val="000110BB"/>
    <w:rsid w:val="000237D0"/>
    <w:rsid w:val="000325DB"/>
    <w:rsid w:val="0004197B"/>
    <w:rsid w:val="00072254"/>
    <w:rsid w:val="000B57BE"/>
    <w:rsid w:val="000C4CD0"/>
    <w:rsid w:val="000C614A"/>
    <w:rsid w:val="000E34D8"/>
    <w:rsid w:val="000E3AA0"/>
    <w:rsid w:val="000E3D4B"/>
    <w:rsid w:val="000E4B01"/>
    <w:rsid w:val="00100D20"/>
    <w:rsid w:val="00125C41"/>
    <w:rsid w:val="00137DAA"/>
    <w:rsid w:val="001462D8"/>
    <w:rsid w:val="001575F7"/>
    <w:rsid w:val="00184C8E"/>
    <w:rsid w:val="00201D12"/>
    <w:rsid w:val="002033B0"/>
    <w:rsid w:val="00204497"/>
    <w:rsid w:val="00217BCA"/>
    <w:rsid w:val="00224973"/>
    <w:rsid w:val="00233649"/>
    <w:rsid w:val="002577EA"/>
    <w:rsid w:val="00267486"/>
    <w:rsid w:val="00271FBF"/>
    <w:rsid w:val="002971CD"/>
    <w:rsid w:val="002B7926"/>
    <w:rsid w:val="002C124F"/>
    <w:rsid w:val="002C7FE1"/>
    <w:rsid w:val="002D33DF"/>
    <w:rsid w:val="002E5350"/>
    <w:rsid w:val="002E7C21"/>
    <w:rsid w:val="003034B1"/>
    <w:rsid w:val="0030646C"/>
    <w:rsid w:val="00315BD6"/>
    <w:rsid w:val="003313B4"/>
    <w:rsid w:val="00333F52"/>
    <w:rsid w:val="00360B85"/>
    <w:rsid w:val="00364917"/>
    <w:rsid w:val="003A084E"/>
    <w:rsid w:val="003A3DDE"/>
    <w:rsid w:val="003A5058"/>
    <w:rsid w:val="003B2ABD"/>
    <w:rsid w:val="003C31C8"/>
    <w:rsid w:val="003C4489"/>
    <w:rsid w:val="003D1023"/>
    <w:rsid w:val="003D2B4B"/>
    <w:rsid w:val="00401842"/>
    <w:rsid w:val="004075C1"/>
    <w:rsid w:val="00410EC4"/>
    <w:rsid w:val="00414839"/>
    <w:rsid w:val="00432113"/>
    <w:rsid w:val="004430A9"/>
    <w:rsid w:val="00447CD8"/>
    <w:rsid w:val="00456A9B"/>
    <w:rsid w:val="004636B3"/>
    <w:rsid w:val="00471966"/>
    <w:rsid w:val="0047466E"/>
    <w:rsid w:val="00484121"/>
    <w:rsid w:val="00486BFE"/>
    <w:rsid w:val="00486E8E"/>
    <w:rsid w:val="004B1B7D"/>
    <w:rsid w:val="004D10D9"/>
    <w:rsid w:val="004E4D49"/>
    <w:rsid w:val="004F36D0"/>
    <w:rsid w:val="00502A61"/>
    <w:rsid w:val="00520594"/>
    <w:rsid w:val="0054102A"/>
    <w:rsid w:val="00542683"/>
    <w:rsid w:val="00576F69"/>
    <w:rsid w:val="0059708E"/>
    <w:rsid w:val="005A1E08"/>
    <w:rsid w:val="005A7474"/>
    <w:rsid w:val="005F55CA"/>
    <w:rsid w:val="0060680B"/>
    <w:rsid w:val="00630705"/>
    <w:rsid w:val="006319DD"/>
    <w:rsid w:val="00644F5B"/>
    <w:rsid w:val="00655CAB"/>
    <w:rsid w:val="0066068E"/>
    <w:rsid w:val="006743CC"/>
    <w:rsid w:val="006744FF"/>
    <w:rsid w:val="00684DCD"/>
    <w:rsid w:val="00690314"/>
    <w:rsid w:val="00692175"/>
    <w:rsid w:val="00693364"/>
    <w:rsid w:val="0069495B"/>
    <w:rsid w:val="006A0BCC"/>
    <w:rsid w:val="006A2359"/>
    <w:rsid w:val="006B0408"/>
    <w:rsid w:val="006C20F6"/>
    <w:rsid w:val="006E3FF8"/>
    <w:rsid w:val="007037CE"/>
    <w:rsid w:val="007055F4"/>
    <w:rsid w:val="00714F0A"/>
    <w:rsid w:val="00716489"/>
    <w:rsid w:val="007452C4"/>
    <w:rsid w:val="00753A6D"/>
    <w:rsid w:val="007625EF"/>
    <w:rsid w:val="00763845"/>
    <w:rsid w:val="007A3B14"/>
    <w:rsid w:val="007C295B"/>
    <w:rsid w:val="007C33F1"/>
    <w:rsid w:val="007D010C"/>
    <w:rsid w:val="007D1227"/>
    <w:rsid w:val="007E32D0"/>
    <w:rsid w:val="00812366"/>
    <w:rsid w:val="00846ABF"/>
    <w:rsid w:val="00871B5D"/>
    <w:rsid w:val="008D57F6"/>
    <w:rsid w:val="008D6257"/>
    <w:rsid w:val="008E4222"/>
    <w:rsid w:val="008E71D3"/>
    <w:rsid w:val="008F684C"/>
    <w:rsid w:val="00907321"/>
    <w:rsid w:val="00911D52"/>
    <w:rsid w:val="0092653A"/>
    <w:rsid w:val="00950878"/>
    <w:rsid w:val="00964997"/>
    <w:rsid w:val="009821D9"/>
    <w:rsid w:val="00987982"/>
    <w:rsid w:val="0099441C"/>
    <w:rsid w:val="009A1CB1"/>
    <w:rsid w:val="009A5DA5"/>
    <w:rsid w:val="009B2B7A"/>
    <w:rsid w:val="009E0811"/>
    <w:rsid w:val="009F44E4"/>
    <w:rsid w:val="00A068A0"/>
    <w:rsid w:val="00A223FA"/>
    <w:rsid w:val="00A27A03"/>
    <w:rsid w:val="00A35044"/>
    <w:rsid w:val="00A52D9F"/>
    <w:rsid w:val="00A86251"/>
    <w:rsid w:val="00A92153"/>
    <w:rsid w:val="00AA066E"/>
    <w:rsid w:val="00AA55B6"/>
    <w:rsid w:val="00AC66C1"/>
    <w:rsid w:val="00AE486D"/>
    <w:rsid w:val="00B00C3E"/>
    <w:rsid w:val="00B07B44"/>
    <w:rsid w:val="00B31F1F"/>
    <w:rsid w:val="00B460E1"/>
    <w:rsid w:val="00B46EAA"/>
    <w:rsid w:val="00B74077"/>
    <w:rsid w:val="00B82813"/>
    <w:rsid w:val="00B97556"/>
    <w:rsid w:val="00BA56B6"/>
    <w:rsid w:val="00BB1440"/>
    <w:rsid w:val="00BB41AE"/>
    <w:rsid w:val="00BC1E26"/>
    <w:rsid w:val="00BC5219"/>
    <w:rsid w:val="00BC6B1B"/>
    <w:rsid w:val="00BE543A"/>
    <w:rsid w:val="00BE693A"/>
    <w:rsid w:val="00BF47C2"/>
    <w:rsid w:val="00C24B27"/>
    <w:rsid w:val="00C322F1"/>
    <w:rsid w:val="00C427B1"/>
    <w:rsid w:val="00C847F9"/>
    <w:rsid w:val="00C85A17"/>
    <w:rsid w:val="00C937CF"/>
    <w:rsid w:val="00CA0B00"/>
    <w:rsid w:val="00CB71DB"/>
    <w:rsid w:val="00CD2E52"/>
    <w:rsid w:val="00CD5CFF"/>
    <w:rsid w:val="00CE1BF7"/>
    <w:rsid w:val="00CE41BD"/>
    <w:rsid w:val="00D110F9"/>
    <w:rsid w:val="00D14DCD"/>
    <w:rsid w:val="00D21A7C"/>
    <w:rsid w:val="00D22784"/>
    <w:rsid w:val="00D31C4F"/>
    <w:rsid w:val="00D36B2D"/>
    <w:rsid w:val="00D50612"/>
    <w:rsid w:val="00D55315"/>
    <w:rsid w:val="00D61C4D"/>
    <w:rsid w:val="00D67BA9"/>
    <w:rsid w:val="00D74449"/>
    <w:rsid w:val="00D748FF"/>
    <w:rsid w:val="00D768F0"/>
    <w:rsid w:val="00D844FA"/>
    <w:rsid w:val="00D862DE"/>
    <w:rsid w:val="00D92557"/>
    <w:rsid w:val="00D9542D"/>
    <w:rsid w:val="00DE2544"/>
    <w:rsid w:val="00DE3BD5"/>
    <w:rsid w:val="00DF68CE"/>
    <w:rsid w:val="00E14AA8"/>
    <w:rsid w:val="00E155B1"/>
    <w:rsid w:val="00E15CE6"/>
    <w:rsid w:val="00E22708"/>
    <w:rsid w:val="00E302D5"/>
    <w:rsid w:val="00E35851"/>
    <w:rsid w:val="00E40BF9"/>
    <w:rsid w:val="00E41A95"/>
    <w:rsid w:val="00E44F1F"/>
    <w:rsid w:val="00E458C7"/>
    <w:rsid w:val="00E5190C"/>
    <w:rsid w:val="00E60CBC"/>
    <w:rsid w:val="00E741A8"/>
    <w:rsid w:val="00E82F6A"/>
    <w:rsid w:val="00EA4C7C"/>
    <w:rsid w:val="00EB1784"/>
    <w:rsid w:val="00ED0052"/>
    <w:rsid w:val="00EE7CAD"/>
    <w:rsid w:val="00EF6DA1"/>
    <w:rsid w:val="00F0455B"/>
    <w:rsid w:val="00F11444"/>
    <w:rsid w:val="00F1715C"/>
    <w:rsid w:val="00F31FDC"/>
    <w:rsid w:val="00F44E65"/>
    <w:rsid w:val="00F61C21"/>
    <w:rsid w:val="00F908FA"/>
    <w:rsid w:val="00FA04B5"/>
    <w:rsid w:val="00FB5A08"/>
    <w:rsid w:val="00FD092D"/>
    <w:rsid w:val="00FD4FAC"/>
    <w:rsid w:val="00FD7CF5"/>
    <w:rsid w:val="00FE5DA1"/>
    <w:rsid w:val="00FF4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B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462D8"/>
    <w:pPr>
      <w:spacing w:after="0" w:line="360" w:lineRule="auto"/>
      <w:jc w:val="both"/>
    </w:pPr>
    <w:rPr>
      <w:rFonts w:ascii="Times New Roman" w:hAnsi="Times New Roman"/>
      <w:sz w:val="24"/>
    </w:rPr>
  </w:style>
  <w:style w:type="paragraph" w:styleId="Heading1">
    <w:name w:val="heading 1"/>
    <w:basedOn w:val="Normal"/>
    <w:next w:val="Normal"/>
    <w:link w:val="Heading1Char"/>
    <w:autoRedefine/>
    <w:uiPriority w:val="9"/>
    <w:qFormat/>
    <w:rsid w:val="00B74077"/>
    <w:pPr>
      <w:numPr>
        <w:numId w:val="12"/>
      </w:numPr>
      <w:spacing w:before="240" w:after="240" w:line="240" w:lineRule="auto"/>
      <w:ind w:hanging="720"/>
      <w:jc w:val="center"/>
      <w:outlineLvl w:val="0"/>
    </w:pPr>
    <w:rPr>
      <w:rFonts w:eastAsiaTheme="majorEastAsia" w:cstheme="majorBid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8E4222"/>
    <w:pPr>
      <w:tabs>
        <w:tab w:val="left" w:pos="720"/>
      </w:tabs>
      <w:spacing w:line="240" w:lineRule="auto"/>
    </w:pPr>
    <w:rPr>
      <w:sz w:val="20"/>
      <w:szCs w:val="20"/>
    </w:rPr>
  </w:style>
  <w:style w:type="character" w:customStyle="1" w:styleId="FootnoteTextChar">
    <w:name w:val="Footnote Text Char"/>
    <w:basedOn w:val="DefaultParagraphFont"/>
    <w:link w:val="FootnoteText"/>
    <w:uiPriority w:val="99"/>
    <w:rsid w:val="008E4222"/>
    <w:rPr>
      <w:rFonts w:ascii="Times New Roman" w:hAnsi="Times New Roman"/>
      <w:sz w:val="20"/>
      <w:szCs w:val="20"/>
    </w:rPr>
  </w:style>
  <w:style w:type="character" w:styleId="FootnoteReference">
    <w:name w:val="footnote reference"/>
    <w:basedOn w:val="FooterChar"/>
    <w:uiPriority w:val="99"/>
    <w:unhideWhenUsed/>
    <w:rsid w:val="008E4222"/>
    <w:rPr>
      <w:rFonts w:ascii="Times New Roman" w:hAnsi="Times New Roman"/>
      <w:sz w:val="20"/>
      <w:vertAlign w:val="superscript"/>
    </w:rPr>
  </w:style>
  <w:style w:type="paragraph" w:customStyle="1" w:styleId="1">
    <w:name w:val="(1)"/>
    <w:basedOn w:val="Normal"/>
    <w:rsid w:val="008D6257"/>
    <w:pPr>
      <w:tabs>
        <w:tab w:val="left" w:pos="1080"/>
      </w:tabs>
      <w:spacing w:after="120"/>
      <w:ind w:left="288" w:firstLine="288"/>
    </w:pPr>
    <w:rPr>
      <w:rFonts w:eastAsia="Times New Roman" w:cs="Times New Roman"/>
      <w:szCs w:val="20"/>
    </w:rPr>
  </w:style>
  <w:style w:type="paragraph" w:customStyle="1" w:styleId="A">
    <w:name w:val="(A)"/>
    <w:basedOn w:val="Normal"/>
    <w:link w:val="AChar"/>
    <w:rsid w:val="008D6257"/>
    <w:pPr>
      <w:tabs>
        <w:tab w:val="left" w:pos="1440"/>
      </w:tabs>
      <w:spacing w:after="120"/>
      <w:ind w:left="576" w:firstLine="288"/>
    </w:pPr>
    <w:rPr>
      <w:rFonts w:eastAsia="Times New Roman" w:cs="Times New Roman"/>
      <w:szCs w:val="20"/>
    </w:rPr>
  </w:style>
  <w:style w:type="character" w:customStyle="1" w:styleId="AChar">
    <w:name w:val="(A) Char"/>
    <w:basedOn w:val="DefaultParagraphFont"/>
    <w:link w:val="A"/>
    <w:rsid w:val="008D6257"/>
    <w:rPr>
      <w:rFonts w:ascii="Times New Roman" w:eastAsia="Times New Roman" w:hAnsi="Times New Roman" w:cs="Times New Roman"/>
      <w:sz w:val="24"/>
      <w:szCs w:val="20"/>
    </w:rPr>
  </w:style>
  <w:style w:type="paragraph" w:customStyle="1" w:styleId="i">
    <w:name w:val="i"/>
    <w:basedOn w:val="Normal"/>
    <w:rsid w:val="008D6257"/>
    <w:pPr>
      <w:tabs>
        <w:tab w:val="left" w:pos="1800"/>
      </w:tabs>
      <w:spacing w:after="120"/>
      <w:ind w:left="864" w:firstLine="288"/>
    </w:pPr>
    <w:rPr>
      <w:rFonts w:eastAsia="Times New Roman" w:cs="Times New Roman"/>
      <w:szCs w:val="20"/>
    </w:rPr>
  </w:style>
  <w:style w:type="paragraph" w:styleId="Header">
    <w:name w:val="header"/>
    <w:basedOn w:val="Normal"/>
    <w:link w:val="HeaderChar"/>
    <w:autoRedefine/>
    <w:uiPriority w:val="99"/>
    <w:unhideWhenUsed/>
    <w:rsid w:val="008D6257"/>
    <w:pPr>
      <w:numPr>
        <w:numId w:val="1"/>
      </w:numPr>
      <w:jc w:val="center"/>
    </w:pPr>
    <w:rPr>
      <w:b/>
    </w:rPr>
  </w:style>
  <w:style w:type="character" w:customStyle="1" w:styleId="HeaderChar">
    <w:name w:val="Header Char"/>
    <w:basedOn w:val="DefaultParagraphFont"/>
    <w:link w:val="Header"/>
    <w:uiPriority w:val="99"/>
    <w:rsid w:val="008D6257"/>
    <w:rPr>
      <w:rFonts w:ascii="Times New Roman" w:hAnsi="Times New Roman"/>
      <w:b/>
      <w:sz w:val="24"/>
    </w:rPr>
  </w:style>
  <w:style w:type="paragraph" w:styleId="Footer">
    <w:name w:val="footer"/>
    <w:basedOn w:val="Normal"/>
    <w:link w:val="FooterChar"/>
    <w:autoRedefine/>
    <w:uiPriority w:val="99"/>
    <w:unhideWhenUsed/>
    <w:rsid w:val="008D6257"/>
    <w:pPr>
      <w:tabs>
        <w:tab w:val="left" w:pos="360"/>
      </w:tabs>
      <w:spacing w:after="120"/>
      <w:ind w:left="720" w:hanging="720"/>
    </w:pPr>
    <w:rPr>
      <w:sz w:val="20"/>
    </w:rPr>
  </w:style>
  <w:style w:type="character" w:customStyle="1" w:styleId="FooterChar">
    <w:name w:val="Footer Char"/>
    <w:basedOn w:val="DefaultParagraphFont"/>
    <w:link w:val="Footer"/>
    <w:uiPriority w:val="99"/>
    <w:rsid w:val="008D6257"/>
    <w:rPr>
      <w:rFonts w:ascii="Times New Roman" w:hAnsi="Times New Roman"/>
      <w:sz w:val="20"/>
    </w:rPr>
  </w:style>
  <w:style w:type="character" w:styleId="Hyperlink">
    <w:name w:val="Hyperlink"/>
    <w:basedOn w:val="DefaultParagraphFont"/>
    <w:rsid w:val="008D6257"/>
    <w:rPr>
      <w:color w:val="0000FF"/>
      <w:u w:val="single"/>
    </w:rPr>
  </w:style>
  <w:style w:type="paragraph" w:styleId="PlainText">
    <w:name w:val="Plain Text"/>
    <w:basedOn w:val="Normal"/>
    <w:link w:val="PlainTextChar"/>
    <w:uiPriority w:val="99"/>
    <w:semiHidden/>
    <w:unhideWhenUsed/>
    <w:rsid w:val="008D6257"/>
    <w:rPr>
      <w:rFonts w:ascii="Consolas" w:hAnsi="Consolas" w:cs="Consolas"/>
      <w:sz w:val="21"/>
      <w:szCs w:val="21"/>
    </w:rPr>
  </w:style>
  <w:style w:type="character" w:customStyle="1" w:styleId="PlainTextChar">
    <w:name w:val="Plain Text Char"/>
    <w:basedOn w:val="DefaultParagraphFont"/>
    <w:link w:val="PlainText"/>
    <w:uiPriority w:val="99"/>
    <w:semiHidden/>
    <w:rsid w:val="008D6257"/>
    <w:rPr>
      <w:rFonts w:ascii="Consolas" w:hAnsi="Consolas" w:cs="Consolas"/>
      <w:sz w:val="21"/>
      <w:szCs w:val="21"/>
    </w:rPr>
  </w:style>
  <w:style w:type="paragraph" w:styleId="HTMLPreformatted">
    <w:name w:val="HTML Preformatted"/>
    <w:basedOn w:val="Normal"/>
    <w:link w:val="HTMLPreformattedChar"/>
    <w:rsid w:val="008D62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8D6257"/>
    <w:rPr>
      <w:rFonts w:ascii="Courier New" w:eastAsia="Times New Roman" w:hAnsi="Courier New" w:cs="Courier New"/>
      <w:sz w:val="20"/>
      <w:szCs w:val="20"/>
    </w:rPr>
  </w:style>
  <w:style w:type="paragraph" w:styleId="ListParagraph">
    <w:name w:val="List Paragraph"/>
    <w:basedOn w:val="Normal"/>
    <w:uiPriority w:val="34"/>
    <w:qFormat/>
    <w:rsid w:val="008D6257"/>
    <w:pPr>
      <w:ind w:left="720"/>
      <w:contextualSpacing/>
    </w:pPr>
  </w:style>
  <w:style w:type="table" w:styleId="TableGrid">
    <w:name w:val="Table Grid"/>
    <w:basedOn w:val="TableNormal"/>
    <w:uiPriority w:val="59"/>
    <w:rsid w:val="00714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74077"/>
    <w:rPr>
      <w:rFonts w:ascii="Times New Roman" w:eastAsiaTheme="majorEastAsia" w:hAnsi="Times New Roman" w:cstheme="majorBidi"/>
      <w:b/>
      <w:bCs/>
      <w:sz w:val="24"/>
      <w:szCs w:val="28"/>
    </w:rPr>
  </w:style>
  <w:style w:type="paragraph" w:styleId="BodyTextIndent2">
    <w:name w:val="Body Text Indent 2"/>
    <w:basedOn w:val="Normal"/>
    <w:link w:val="BodyTextIndent2Char"/>
    <w:rsid w:val="00907321"/>
    <w:pPr>
      <w:spacing w:line="480" w:lineRule="auto"/>
      <w:ind w:firstLine="720"/>
      <w:jc w:val="left"/>
    </w:pPr>
    <w:rPr>
      <w:rFonts w:ascii="Arial" w:eastAsia="Times New Roman" w:hAnsi="Arial" w:cs="Times New Roman"/>
      <w:szCs w:val="20"/>
    </w:rPr>
  </w:style>
  <w:style w:type="character" w:customStyle="1" w:styleId="BodyTextIndent2Char">
    <w:name w:val="Body Text Indent 2 Char"/>
    <w:basedOn w:val="DefaultParagraphFont"/>
    <w:link w:val="BodyTextIndent2"/>
    <w:rsid w:val="00907321"/>
    <w:rPr>
      <w:rFonts w:ascii="Arial" w:eastAsia="Times New Roman" w:hAnsi="Arial" w:cs="Times New Roman"/>
      <w:sz w:val="24"/>
      <w:szCs w:val="20"/>
    </w:rPr>
  </w:style>
  <w:style w:type="paragraph" w:styleId="BalloonText">
    <w:name w:val="Balloon Text"/>
    <w:basedOn w:val="Normal"/>
    <w:link w:val="BalloonTextChar"/>
    <w:uiPriority w:val="99"/>
    <w:semiHidden/>
    <w:unhideWhenUsed/>
    <w:rsid w:val="0063070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0705"/>
    <w:rPr>
      <w:rFonts w:ascii="Tahoma" w:hAnsi="Tahoma" w:cs="Tahoma"/>
      <w:sz w:val="16"/>
      <w:szCs w:val="16"/>
    </w:rPr>
  </w:style>
  <w:style w:type="character" w:styleId="CommentReference">
    <w:name w:val="annotation reference"/>
    <w:basedOn w:val="DefaultParagraphFont"/>
    <w:uiPriority w:val="99"/>
    <w:semiHidden/>
    <w:unhideWhenUsed/>
    <w:rsid w:val="002C124F"/>
    <w:rPr>
      <w:sz w:val="16"/>
      <w:szCs w:val="16"/>
    </w:rPr>
  </w:style>
  <w:style w:type="paragraph" w:styleId="CommentText">
    <w:name w:val="annotation text"/>
    <w:basedOn w:val="Normal"/>
    <w:link w:val="CommentTextChar"/>
    <w:uiPriority w:val="99"/>
    <w:semiHidden/>
    <w:unhideWhenUsed/>
    <w:rsid w:val="002C124F"/>
    <w:pPr>
      <w:spacing w:line="240" w:lineRule="auto"/>
    </w:pPr>
    <w:rPr>
      <w:sz w:val="20"/>
      <w:szCs w:val="20"/>
    </w:rPr>
  </w:style>
  <w:style w:type="character" w:customStyle="1" w:styleId="CommentTextChar">
    <w:name w:val="Comment Text Char"/>
    <w:basedOn w:val="DefaultParagraphFont"/>
    <w:link w:val="CommentText"/>
    <w:uiPriority w:val="99"/>
    <w:semiHidden/>
    <w:rsid w:val="002C124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C124F"/>
    <w:rPr>
      <w:b/>
      <w:bCs/>
    </w:rPr>
  </w:style>
  <w:style w:type="character" w:customStyle="1" w:styleId="CommentSubjectChar">
    <w:name w:val="Comment Subject Char"/>
    <w:basedOn w:val="CommentTextChar"/>
    <w:link w:val="CommentSubject"/>
    <w:uiPriority w:val="99"/>
    <w:semiHidden/>
    <w:rsid w:val="002C124F"/>
    <w:rPr>
      <w:rFonts w:ascii="Times New Roman" w:hAnsi="Times New Roman"/>
      <w:b/>
      <w:bCs/>
      <w:sz w:val="20"/>
      <w:szCs w:val="20"/>
    </w:rPr>
  </w:style>
  <w:style w:type="paragraph" w:styleId="BodyTextIndent">
    <w:name w:val="Body Text Indent"/>
    <w:basedOn w:val="Normal"/>
    <w:link w:val="BodyTextIndentChar"/>
    <w:uiPriority w:val="99"/>
    <w:semiHidden/>
    <w:unhideWhenUsed/>
    <w:rsid w:val="000C4CD0"/>
    <w:pPr>
      <w:spacing w:after="120"/>
      <w:ind w:left="360"/>
    </w:pPr>
  </w:style>
  <w:style w:type="character" w:customStyle="1" w:styleId="BodyTextIndentChar">
    <w:name w:val="Body Text Indent Char"/>
    <w:basedOn w:val="DefaultParagraphFont"/>
    <w:link w:val="BodyTextIndent"/>
    <w:uiPriority w:val="99"/>
    <w:semiHidden/>
    <w:rsid w:val="000C4CD0"/>
    <w:rPr>
      <w:rFonts w:ascii="Times New Roman" w:hAnsi="Times New Roman"/>
      <w:sz w:val="24"/>
    </w:rPr>
  </w:style>
  <w:style w:type="paragraph" w:styleId="BodyTextFirstIndent2">
    <w:name w:val="Body Text First Indent 2"/>
    <w:basedOn w:val="BodyTextIndent"/>
    <w:link w:val="BodyTextFirstIndent2Char"/>
    <w:uiPriority w:val="99"/>
    <w:unhideWhenUsed/>
    <w:rsid w:val="000C4CD0"/>
    <w:pPr>
      <w:spacing w:after="0"/>
      <w:ind w:firstLine="360"/>
    </w:pPr>
  </w:style>
  <w:style w:type="character" w:customStyle="1" w:styleId="BodyTextFirstIndent2Char">
    <w:name w:val="Body Text First Indent 2 Char"/>
    <w:basedOn w:val="BodyTextIndentChar"/>
    <w:link w:val="BodyTextFirstIndent2"/>
    <w:uiPriority w:val="99"/>
    <w:rsid w:val="000C4CD0"/>
    <w:rPr>
      <w:rFonts w:ascii="Times New Roman" w:hAnsi="Times New Roman"/>
      <w:sz w:val="24"/>
    </w:rPr>
  </w:style>
  <w:style w:type="paragraph" w:styleId="BodyText">
    <w:name w:val="Body Text"/>
    <w:basedOn w:val="Normal"/>
    <w:link w:val="BodyTextChar"/>
    <w:uiPriority w:val="99"/>
    <w:semiHidden/>
    <w:unhideWhenUsed/>
    <w:rsid w:val="000C4CD0"/>
    <w:pPr>
      <w:spacing w:after="120"/>
    </w:pPr>
  </w:style>
  <w:style w:type="character" w:customStyle="1" w:styleId="BodyTextChar">
    <w:name w:val="Body Text Char"/>
    <w:basedOn w:val="DefaultParagraphFont"/>
    <w:link w:val="BodyText"/>
    <w:uiPriority w:val="99"/>
    <w:semiHidden/>
    <w:rsid w:val="000C4CD0"/>
    <w:rPr>
      <w:rFonts w:ascii="Times New Roman" w:hAnsi="Times New Roman"/>
      <w:sz w:val="24"/>
    </w:rPr>
  </w:style>
  <w:style w:type="paragraph" w:styleId="BodyTextFirstIndent">
    <w:name w:val="Body Text First Indent"/>
    <w:basedOn w:val="BodyText"/>
    <w:link w:val="BodyTextFirstIndentChar"/>
    <w:uiPriority w:val="99"/>
    <w:unhideWhenUsed/>
    <w:rsid w:val="000C4CD0"/>
    <w:pPr>
      <w:spacing w:after="0"/>
      <w:ind w:firstLine="720"/>
    </w:pPr>
  </w:style>
  <w:style w:type="character" w:customStyle="1" w:styleId="BodyTextFirstIndentChar">
    <w:name w:val="Body Text First Indent Char"/>
    <w:basedOn w:val="BodyTextChar"/>
    <w:link w:val="BodyTextFirstIndent"/>
    <w:uiPriority w:val="99"/>
    <w:rsid w:val="000C4CD0"/>
    <w:rPr>
      <w:rFonts w:ascii="Times New Roman" w:hAnsi="Times New Roman"/>
      <w:sz w:val="24"/>
    </w:rPr>
  </w:style>
  <w:style w:type="paragraph" w:styleId="BodyText2">
    <w:name w:val="Body Text 2"/>
    <w:basedOn w:val="Normal"/>
    <w:link w:val="BodyText2Char"/>
    <w:uiPriority w:val="99"/>
    <w:unhideWhenUsed/>
    <w:rsid w:val="000C4CD0"/>
    <w:pPr>
      <w:spacing w:after="120" w:line="480" w:lineRule="auto"/>
    </w:pPr>
  </w:style>
  <w:style w:type="character" w:customStyle="1" w:styleId="BodyText2Char">
    <w:name w:val="Body Text 2 Char"/>
    <w:basedOn w:val="DefaultParagraphFont"/>
    <w:link w:val="BodyText2"/>
    <w:uiPriority w:val="99"/>
    <w:rsid w:val="000C4CD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5FA7F-A327-4356-A13F-3603693F5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1253</Words>
  <Characters>7144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2020-02-19T23:15:00Z</dcterms:created>
  <dcterms:modified xsi:type="dcterms:W3CDTF">2020-02-19T23:15:00Z</dcterms:modified>
</cp:coreProperties>
</file>